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5" w:type="dxa"/>
        <w:tblLook w:val="04A0" w:firstRow="1" w:lastRow="0" w:firstColumn="1" w:lastColumn="0" w:noHBand="0" w:noVBand="1"/>
        <w:tblCaption w:val="Cabinet report summary details"/>
      </w:tblPr>
      <w:tblGrid>
        <w:gridCol w:w="3913"/>
        <w:gridCol w:w="4396"/>
        <w:gridCol w:w="876"/>
      </w:tblGrid>
      <w:tr w:rsidR="00CA68A2" w14:paraId="26E34BBA" w14:textId="77777777" w:rsidTr="00623D0A">
        <w:trPr>
          <w:trHeight w:val="1442"/>
        </w:trPr>
        <w:tc>
          <w:tcPr>
            <w:tcW w:w="9185" w:type="dxa"/>
            <w:gridSpan w:val="3"/>
            <w:tcBorders>
              <w:top w:val="nil"/>
              <w:left w:val="nil"/>
              <w:bottom w:val="single" w:sz="18" w:space="0" w:color="auto"/>
              <w:right w:val="nil"/>
            </w:tcBorders>
          </w:tcPr>
          <w:p w14:paraId="5D54BC4C" w14:textId="77777777" w:rsidR="00CA68A2" w:rsidRDefault="00CA68A2" w:rsidP="005A6C0D">
            <w:pPr>
              <w:pStyle w:val="Infotext"/>
              <w:rPr>
                <w:rFonts w:ascii="Arial Black" w:hAnsi="Arial Black"/>
                <w:color w:val="999999"/>
                <w:sz w:val="36"/>
                <w:szCs w:val="36"/>
              </w:rPr>
            </w:pPr>
            <w:r>
              <w:rPr>
                <w:noProof/>
              </w:rPr>
              <w:drawing>
                <wp:inline distT="0" distB="0" distL="0" distR="0" wp14:anchorId="1B935AF8" wp14:editId="7F15A200">
                  <wp:extent cx="2440940" cy="707390"/>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Borough of Harro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0940" cy="707390"/>
                          </a:xfrm>
                          <a:prstGeom prst="rect">
                            <a:avLst/>
                          </a:prstGeom>
                          <a:noFill/>
                          <a:ln>
                            <a:noFill/>
                          </a:ln>
                        </pic:spPr>
                      </pic:pic>
                    </a:graphicData>
                  </a:graphic>
                </wp:inline>
              </w:drawing>
            </w:r>
          </w:p>
          <w:p w14:paraId="16C88D59" w14:textId="77777777" w:rsidR="00CA68A2" w:rsidRDefault="00CA68A2" w:rsidP="005A6C0D">
            <w:pPr>
              <w:pStyle w:val="Infotext"/>
              <w:rPr>
                <w:rFonts w:ascii="Arial Black" w:hAnsi="Arial Black" w:cs="Arial"/>
                <w:sz w:val="36"/>
                <w:szCs w:val="36"/>
              </w:rPr>
            </w:pPr>
          </w:p>
        </w:tc>
      </w:tr>
      <w:tr w:rsidR="00CA68A2" w14:paraId="0DE33F9C" w14:textId="77777777" w:rsidTr="00623D0A">
        <w:trPr>
          <w:trHeight w:val="887"/>
        </w:trPr>
        <w:tc>
          <w:tcPr>
            <w:tcW w:w="3913" w:type="dxa"/>
            <w:tcBorders>
              <w:top w:val="nil"/>
              <w:left w:val="nil"/>
              <w:bottom w:val="single" w:sz="18" w:space="0" w:color="auto"/>
              <w:right w:val="nil"/>
            </w:tcBorders>
          </w:tcPr>
          <w:p w14:paraId="78DCE17A" w14:textId="77777777" w:rsidR="00CA68A2" w:rsidRDefault="00CA68A2" w:rsidP="005A6C0D">
            <w:pPr>
              <w:pStyle w:val="Infotext"/>
              <w:rPr>
                <w:rFonts w:ascii="Arial Black" w:hAnsi="Arial Black"/>
                <w:color w:val="999999"/>
                <w:sz w:val="36"/>
                <w:szCs w:val="36"/>
              </w:rPr>
            </w:pPr>
            <w:r>
              <w:rPr>
                <w:rFonts w:ascii="Arial Black" w:hAnsi="Arial Black"/>
                <w:color w:val="000000" w:themeColor="text1"/>
                <w:sz w:val="36"/>
                <w:szCs w:val="36"/>
              </w:rPr>
              <w:t>REPORT FOR:</w:t>
            </w:r>
          </w:p>
          <w:p w14:paraId="4CC30D64" w14:textId="77777777" w:rsidR="00CA68A2" w:rsidRDefault="00CA68A2" w:rsidP="005A6C0D">
            <w:pPr>
              <w:pStyle w:val="Infotext"/>
              <w:rPr>
                <w:rFonts w:ascii="Arial Black" w:hAnsi="Arial Black" w:cs="Arial"/>
                <w:sz w:val="36"/>
                <w:szCs w:val="36"/>
              </w:rPr>
            </w:pPr>
          </w:p>
        </w:tc>
        <w:tc>
          <w:tcPr>
            <w:tcW w:w="5272" w:type="dxa"/>
            <w:gridSpan w:val="2"/>
            <w:tcBorders>
              <w:top w:val="nil"/>
              <w:left w:val="nil"/>
              <w:bottom w:val="single" w:sz="18" w:space="0" w:color="auto"/>
              <w:right w:val="nil"/>
            </w:tcBorders>
            <w:hideMark/>
          </w:tcPr>
          <w:p w14:paraId="71E589C5" w14:textId="77777777" w:rsidR="00CA68A2" w:rsidRDefault="00CA68A2" w:rsidP="005A6C0D">
            <w:pPr>
              <w:rPr>
                <w:rFonts w:ascii="Arial Black" w:hAnsi="Arial Black" w:cs="Arial"/>
                <w:sz w:val="36"/>
                <w:szCs w:val="36"/>
              </w:rPr>
            </w:pPr>
            <w:r>
              <w:rPr>
                <w:rFonts w:ascii="Arial Black" w:hAnsi="Arial Black" w:cs="Arial"/>
                <w:sz w:val="36"/>
                <w:szCs w:val="36"/>
              </w:rPr>
              <w:t>Pension Board</w:t>
            </w:r>
          </w:p>
        </w:tc>
      </w:tr>
      <w:tr w:rsidR="00CA68A2" w14:paraId="64205E0B" w14:textId="77777777" w:rsidTr="00623D0A">
        <w:trPr>
          <w:trHeight w:val="1042"/>
        </w:trPr>
        <w:tc>
          <w:tcPr>
            <w:tcW w:w="3913" w:type="dxa"/>
            <w:tcBorders>
              <w:top w:val="single" w:sz="18" w:space="0" w:color="auto"/>
              <w:left w:val="nil"/>
              <w:bottom w:val="nil"/>
              <w:right w:val="nil"/>
            </w:tcBorders>
          </w:tcPr>
          <w:p w14:paraId="620BECA8" w14:textId="77777777" w:rsidR="00CA68A2" w:rsidRDefault="00CA68A2" w:rsidP="005A6C0D">
            <w:pPr>
              <w:pStyle w:val="Infotext"/>
              <w:rPr>
                <w:rFonts w:ascii="Arial Black" w:hAnsi="Arial Black"/>
              </w:rPr>
            </w:pPr>
          </w:p>
          <w:p w14:paraId="7E82D094" w14:textId="77777777" w:rsidR="00CA68A2" w:rsidRDefault="00CA68A2" w:rsidP="005A6C0D">
            <w:pPr>
              <w:pStyle w:val="Infotext"/>
              <w:rPr>
                <w:rFonts w:ascii="Arial Black" w:hAnsi="Arial Black"/>
              </w:rPr>
            </w:pPr>
            <w:r>
              <w:rPr>
                <w:rFonts w:ascii="Arial Black" w:hAnsi="Arial Black"/>
              </w:rPr>
              <w:t>Date of Meeting:</w:t>
            </w:r>
          </w:p>
          <w:p w14:paraId="7B88BF03" w14:textId="77777777" w:rsidR="00CA68A2" w:rsidRDefault="00CA68A2" w:rsidP="005A6C0D">
            <w:pPr>
              <w:pStyle w:val="Infotext"/>
              <w:rPr>
                <w:rFonts w:ascii="Arial Black" w:hAnsi="Arial Black" w:cs="Arial"/>
              </w:rPr>
            </w:pPr>
          </w:p>
        </w:tc>
        <w:tc>
          <w:tcPr>
            <w:tcW w:w="5272" w:type="dxa"/>
            <w:gridSpan w:val="2"/>
            <w:tcBorders>
              <w:top w:val="single" w:sz="18" w:space="0" w:color="auto"/>
              <w:left w:val="nil"/>
              <w:bottom w:val="nil"/>
              <w:right w:val="nil"/>
            </w:tcBorders>
          </w:tcPr>
          <w:p w14:paraId="47E3FECF" w14:textId="10B3286A" w:rsidR="00623D0A" w:rsidRDefault="00623D0A" w:rsidP="005A6C0D">
            <w:pPr>
              <w:pStyle w:val="Infotext"/>
              <w:rPr>
                <w:rFonts w:cs="Arial"/>
                <w:sz w:val="4"/>
                <w:szCs w:val="4"/>
              </w:rPr>
            </w:pPr>
          </w:p>
          <w:p w14:paraId="44221C7C" w14:textId="6BABA0CE" w:rsidR="00623D0A" w:rsidRDefault="00623D0A" w:rsidP="005A6C0D">
            <w:pPr>
              <w:pStyle w:val="Infotext"/>
              <w:rPr>
                <w:rFonts w:cs="Arial"/>
                <w:sz w:val="4"/>
                <w:szCs w:val="4"/>
              </w:rPr>
            </w:pPr>
          </w:p>
          <w:p w14:paraId="3244DDEC" w14:textId="17026D8B" w:rsidR="00623D0A" w:rsidRDefault="00623D0A" w:rsidP="005A6C0D">
            <w:pPr>
              <w:pStyle w:val="Infotext"/>
              <w:rPr>
                <w:rFonts w:cs="Arial"/>
                <w:sz w:val="4"/>
                <w:szCs w:val="4"/>
              </w:rPr>
            </w:pPr>
          </w:p>
          <w:p w14:paraId="533139EC" w14:textId="2287F711" w:rsidR="00623D0A" w:rsidRDefault="00623D0A" w:rsidP="005A6C0D">
            <w:pPr>
              <w:pStyle w:val="Infotext"/>
              <w:rPr>
                <w:rFonts w:cs="Arial"/>
                <w:sz w:val="4"/>
                <w:szCs w:val="4"/>
              </w:rPr>
            </w:pPr>
          </w:p>
          <w:p w14:paraId="551E02F8" w14:textId="7B64BBFB" w:rsidR="00623D0A" w:rsidRDefault="00623D0A" w:rsidP="005A6C0D">
            <w:pPr>
              <w:pStyle w:val="Infotext"/>
              <w:rPr>
                <w:rFonts w:cs="Arial"/>
                <w:sz w:val="4"/>
                <w:szCs w:val="4"/>
              </w:rPr>
            </w:pPr>
          </w:p>
          <w:p w14:paraId="628C8EDB" w14:textId="45515F5E" w:rsidR="00623D0A" w:rsidRDefault="00623D0A" w:rsidP="005A6C0D">
            <w:pPr>
              <w:pStyle w:val="Infotext"/>
              <w:rPr>
                <w:rFonts w:cs="Arial"/>
                <w:sz w:val="4"/>
                <w:szCs w:val="4"/>
              </w:rPr>
            </w:pPr>
          </w:p>
          <w:p w14:paraId="5DC483FF" w14:textId="5708A839" w:rsidR="00623D0A" w:rsidRDefault="00623D0A" w:rsidP="005A6C0D">
            <w:pPr>
              <w:pStyle w:val="Infotext"/>
              <w:rPr>
                <w:rFonts w:cs="Arial"/>
                <w:sz w:val="4"/>
                <w:szCs w:val="4"/>
              </w:rPr>
            </w:pPr>
          </w:p>
          <w:p w14:paraId="022A83B4" w14:textId="340B4092" w:rsidR="00623D0A" w:rsidRDefault="00623D0A" w:rsidP="005A6C0D">
            <w:pPr>
              <w:pStyle w:val="Infotext"/>
              <w:rPr>
                <w:rFonts w:cs="Arial"/>
                <w:sz w:val="4"/>
                <w:szCs w:val="4"/>
              </w:rPr>
            </w:pPr>
          </w:p>
          <w:p w14:paraId="2EB8F304" w14:textId="084F9FFF" w:rsidR="00623D0A" w:rsidRDefault="00623D0A" w:rsidP="005A6C0D">
            <w:pPr>
              <w:pStyle w:val="Infotext"/>
              <w:rPr>
                <w:rFonts w:cs="Arial"/>
                <w:sz w:val="4"/>
                <w:szCs w:val="4"/>
              </w:rPr>
            </w:pPr>
          </w:p>
          <w:p w14:paraId="71B9AE4F" w14:textId="7B610122" w:rsidR="00623D0A" w:rsidRDefault="00623D0A" w:rsidP="005A6C0D">
            <w:pPr>
              <w:pStyle w:val="Infotext"/>
              <w:rPr>
                <w:rFonts w:cs="Arial"/>
                <w:sz w:val="4"/>
                <w:szCs w:val="4"/>
              </w:rPr>
            </w:pPr>
          </w:p>
          <w:p w14:paraId="5375800B" w14:textId="77777777" w:rsidR="00623D0A" w:rsidRPr="00623D0A" w:rsidRDefault="00623D0A" w:rsidP="005A6C0D">
            <w:pPr>
              <w:pStyle w:val="Infotext"/>
              <w:rPr>
                <w:rFonts w:cs="Arial"/>
                <w:sz w:val="4"/>
                <w:szCs w:val="4"/>
              </w:rPr>
            </w:pPr>
          </w:p>
          <w:p w14:paraId="64567701" w14:textId="3203691B" w:rsidR="00CA68A2" w:rsidRDefault="006228B5" w:rsidP="005A6C0D">
            <w:pPr>
              <w:pStyle w:val="Infotext"/>
              <w:rPr>
                <w:rFonts w:cs="Arial"/>
                <w:szCs w:val="28"/>
                <w:highlight w:val="yellow"/>
              </w:rPr>
            </w:pPr>
            <w:r>
              <w:rPr>
                <w:rFonts w:cs="Arial"/>
              </w:rPr>
              <w:t>3</w:t>
            </w:r>
            <w:r w:rsidR="004512EB">
              <w:rPr>
                <w:rFonts w:cs="Arial"/>
              </w:rPr>
              <w:t>0</w:t>
            </w:r>
            <w:r w:rsidR="00CA68A2">
              <w:rPr>
                <w:rFonts w:cs="Arial"/>
              </w:rPr>
              <w:t xml:space="preserve"> </w:t>
            </w:r>
            <w:r>
              <w:rPr>
                <w:rFonts w:cs="Arial"/>
              </w:rPr>
              <w:t>October</w:t>
            </w:r>
            <w:r w:rsidR="00CA68A2">
              <w:rPr>
                <w:rFonts w:cs="Arial"/>
              </w:rPr>
              <w:t xml:space="preserve"> 2023</w:t>
            </w:r>
          </w:p>
        </w:tc>
      </w:tr>
      <w:tr w:rsidR="005E568A" w14:paraId="411DC2BC" w14:textId="77777777" w:rsidTr="00623D0A">
        <w:trPr>
          <w:trHeight w:val="697"/>
        </w:trPr>
        <w:tc>
          <w:tcPr>
            <w:tcW w:w="3913" w:type="dxa"/>
          </w:tcPr>
          <w:p w14:paraId="48C4AF6D" w14:textId="77777777" w:rsidR="005E568A" w:rsidRDefault="005E568A" w:rsidP="005E568A">
            <w:pPr>
              <w:pStyle w:val="Infotext"/>
              <w:rPr>
                <w:rFonts w:ascii="Arial Black" w:hAnsi="Arial Black" w:cs="Arial"/>
              </w:rPr>
            </w:pPr>
            <w:r>
              <w:rPr>
                <w:rFonts w:ascii="Arial Black" w:hAnsi="Arial Black" w:cs="Arial"/>
              </w:rPr>
              <w:t>Subject:</w:t>
            </w:r>
          </w:p>
          <w:p w14:paraId="3C8AC3DC" w14:textId="77777777" w:rsidR="005E568A" w:rsidRDefault="005E568A" w:rsidP="005E568A">
            <w:pPr>
              <w:pStyle w:val="Infotext"/>
              <w:rPr>
                <w:rFonts w:ascii="Arial Black" w:hAnsi="Arial Black"/>
              </w:rPr>
            </w:pPr>
          </w:p>
        </w:tc>
        <w:tc>
          <w:tcPr>
            <w:tcW w:w="5272" w:type="dxa"/>
            <w:gridSpan w:val="2"/>
          </w:tcPr>
          <w:p w14:paraId="3288B1E7" w14:textId="5D67D336" w:rsidR="005E568A" w:rsidRDefault="005E568A" w:rsidP="005E568A">
            <w:pPr>
              <w:rPr>
                <w:rFonts w:cs="Arial"/>
                <w:sz w:val="28"/>
                <w:szCs w:val="28"/>
              </w:rPr>
            </w:pPr>
            <w:r w:rsidRPr="005E568A">
              <w:rPr>
                <w:rFonts w:cs="Arial"/>
                <w:sz w:val="28"/>
                <w:szCs w:val="28"/>
              </w:rPr>
              <w:t>Review of Pension Fund Committee Items</w:t>
            </w:r>
          </w:p>
        </w:tc>
      </w:tr>
      <w:tr w:rsidR="005E568A" w14:paraId="48532DEA" w14:textId="77777777" w:rsidTr="00623D0A">
        <w:trPr>
          <w:trHeight w:val="353"/>
        </w:trPr>
        <w:tc>
          <w:tcPr>
            <w:tcW w:w="3913" w:type="dxa"/>
          </w:tcPr>
          <w:p w14:paraId="2DC47BA4" w14:textId="77777777" w:rsidR="005E568A" w:rsidRDefault="005E568A" w:rsidP="005E568A">
            <w:pPr>
              <w:pStyle w:val="Infotext"/>
              <w:rPr>
                <w:rFonts w:ascii="Arial Black" w:hAnsi="Arial Black" w:cs="Arial"/>
              </w:rPr>
            </w:pPr>
          </w:p>
        </w:tc>
        <w:tc>
          <w:tcPr>
            <w:tcW w:w="5272" w:type="dxa"/>
            <w:gridSpan w:val="2"/>
          </w:tcPr>
          <w:p w14:paraId="65C81825" w14:textId="77777777" w:rsidR="005E568A" w:rsidRPr="00623D0A" w:rsidRDefault="005E568A" w:rsidP="005E568A">
            <w:pPr>
              <w:pStyle w:val="Infotext"/>
              <w:rPr>
                <w:rFonts w:cs="Arial"/>
                <w:sz w:val="12"/>
                <w:szCs w:val="12"/>
              </w:rPr>
            </w:pPr>
          </w:p>
        </w:tc>
      </w:tr>
      <w:tr w:rsidR="005E568A" w14:paraId="536CF5E4" w14:textId="77777777" w:rsidTr="00623D0A">
        <w:trPr>
          <w:trHeight w:val="854"/>
        </w:trPr>
        <w:tc>
          <w:tcPr>
            <w:tcW w:w="3913" w:type="dxa"/>
          </w:tcPr>
          <w:p w14:paraId="3A15481E" w14:textId="77777777" w:rsidR="005E568A" w:rsidRDefault="005E568A" w:rsidP="005E568A">
            <w:pPr>
              <w:pStyle w:val="Infotext"/>
              <w:rPr>
                <w:rFonts w:ascii="Arial Black" w:hAnsi="Arial Black" w:cs="Arial"/>
              </w:rPr>
            </w:pPr>
            <w:r>
              <w:rPr>
                <w:rFonts w:ascii="Arial Black" w:hAnsi="Arial Black" w:cs="Arial"/>
              </w:rPr>
              <w:t>Responsible Officer:</w:t>
            </w:r>
          </w:p>
          <w:p w14:paraId="5D7C8621" w14:textId="77777777" w:rsidR="005E568A" w:rsidRDefault="005E568A" w:rsidP="005E568A">
            <w:pPr>
              <w:pStyle w:val="Infotext"/>
              <w:rPr>
                <w:rFonts w:ascii="Arial Black" w:hAnsi="Arial Black" w:cs="Arial"/>
              </w:rPr>
            </w:pPr>
          </w:p>
        </w:tc>
        <w:tc>
          <w:tcPr>
            <w:tcW w:w="5272" w:type="dxa"/>
            <w:gridSpan w:val="2"/>
          </w:tcPr>
          <w:p w14:paraId="083A1BFA" w14:textId="77777777" w:rsidR="005E568A" w:rsidRDefault="005E568A" w:rsidP="005E568A">
            <w:pPr>
              <w:pStyle w:val="Infotext"/>
              <w:rPr>
                <w:rFonts w:cs="Arial"/>
                <w:szCs w:val="28"/>
              </w:rPr>
            </w:pPr>
            <w:r>
              <w:rPr>
                <w:rFonts w:cs="Arial"/>
                <w:szCs w:val="28"/>
              </w:rPr>
              <w:t>Sharon Daniels, Interim Director of Finance and Assurance</w:t>
            </w:r>
          </w:p>
          <w:p w14:paraId="6971F265" w14:textId="43615657" w:rsidR="00623D0A" w:rsidRPr="00623D0A" w:rsidRDefault="00623D0A" w:rsidP="005E568A">
            <w:pPr>
              <w:pStyle w:val="Infotext"/>
              <w:rPr>
                <w:rFonts w:cs="Arial"/>
                <w:sz w:val="12"/>
                <w:szCs w:val="12"/>
              </w:rPr>
            </w:pPr>
          </w:p>
        </w:tc>
      </w:tr>
      <w:tr w:rsidR="005E568A" w14:paraId="119C35D4" w14:textId="77777777" w:rsidTr="00623D0A">
        <w:trPr>
          <w:trHeight w:val="297"/>
        </w:trPr>
        <w:tc>
          <w:tcPr>
            <w:tcW w:w="3913" w:type="dxa"/>
          </w:tcPr>
          <w:p w14:paraId="16220692" w14:textId="77777777" w:rsidR="005E568A" w:rsidRDefault="005E568A" w:rsidP="005E568A">
            <w:pPr>
              <w:pStyle w:val="BodyText"/>
              <w:jc w:val="both"/>
              <w:rPr>
                <w:rFonts w:ascii="Arial Black" w:hAnsi="Arial Black"/>
              </w:rPr>
            </w:pPr>
          </w:p>
        </w:tc>
        <w:tc>
          <w:tcPr>
            <w:tcW w:w="5272" w:type="dxa"/>
            <w:gridSpan w:val="2"/>
          </w:tcPr>
          <w:p w14:paraId="3262C13E" w14:textId="77777777" w:rsidR="005E568A" w:rsidRPr="00623D0A" w:rsidRDefault="005E568A" w:rsidP="005E568A">
            <w:pPr>
              <w:pStyle w:val="Infotext"/>
              <w:jc w:val="both"/>
              <w:rPr>
                <w:rFonts w:cs="Arial"/>
                <w:color w:val="FF0000"/>
                <w:sz w:val="12"/>
                <w:szCs w:val="12"/>
              </w:rPr>
            </w:pPr>
          </w:p>
        </w:tc>
      </w:tr>
      <w:tr w:rsidR="005E568A" w14:paraId="749087CC" w14:textId="77777777" w:rsidTr="00623D0A">
        <w:trPr>
          <w:trHeight w:val="653"/>
        </w:trPr>
        <w:tc>
          <w:tcPr>
            <w:tcW w:w="3913" w:type="dxa"/>
          </w:tcPr>
          <w:p w14:paraId="30C9B260" w14:textId="77777777" w:rsidR="005E568A" w:rsidRDefault="005E568A" w:rsidP="005E568A">
            <w:pPr>
              <w:pStyle w:val="Infotext"/>
              <w:jc w:val="both"/>
              <w:rPr>
                <w:rFonts w:ascii="Arial Black" w:hAnsi="Arial Black"/>
              </w:rPr>
            </w:pPr>
            <w:r>
              <w:rPr>
                <w:rFonts w:ascii="Arial Black" w:hAnsi="Arial Black"/>
              </w:rPr>
              <w:t>Exempt:</w:t>
            </w:r>
          </w:p>
          <w:p w14:paraId="44CCD4BB" w14:textId="77777777" w:rsidR="005E568A" w:rsidRDefault="005E568A" w:rsidP="005E568A">
            <w:pPr>
              <w:pStyle w:val="BodyText"/>
              <w:jc w:val="both"/>
              <w:rPr>
                <w:rFonts w:ascii="Arial Black" w:hAnsi="Arial Black"/>
              </w:rPr>
            </w:pPr>
          </w:p>
        </w:tc>
        <w:tc>
          <w:tcPr>
            <w:tcW w:w="5272" w:type="dxa"/>
            <w:gridSpan w:val="2"/>
            <w:hideMark/>
          </w:tcPr>
          <w:p w14:paraId="0109EB32" w14:textId="7187817D" w:rsidR="005E568A" w:rsidRPr="00623D0A" w:rsidRDefault="005E568A" w:rsidP="00623D0A">
            <w:pPr>
              <w:pStyle w:val="Infotext"/>
              <w:rPr>
                <w:rFonts w:cs="Arial"/>
              </w:rPr>
            </w:pPr>
            <w:r>
              <w:rPr>
                <w:rFonts w:cs="Arial"/>
                <w:szCs w:val="28"/>
              </w:rPr>
              <w:t>No</w:t>
            </w:r>
            <w:r w:rsidR="00623D0A">
              <w:rPr>
                <w:rFonts w:cs="Arial"/>
                <w:szCs w:val="28"/>
              </w:rPr>
              <w:t xml:space="preserve"> - except for Appendix 5 and 6 which are Exempt from publication under paragraph 3, Part 1 of Schedule 12A to the Local Government Act 1972 (as amended) as it contains information relating to the financial or business affairs of any </w:t>
            </w:r>
            <w:proofErr w:type="gramStart"/>
            <w:r w:rsidR="00623D0A">
              <w:rPr>
                <w:rFonts w:cs="Arial"/>
                <w:szCs w:val="28"/>
              </w:rPr>
              <w:t>particular person</w:t>
            </w:r>
            <w:proofErr w:type="gramEnd"/>
            <w:r w:rsidR="00623D0A">
              <w:rPr>
                <w:rFonts w:cs="Arial"/>
                <w:szCs w:val="28"/>
              </w:rPr>
              <w:t xml:space="preserve"> (including the authority holding that information)</w:t>
            </w:r>
          </w:p>
        </w:tc>
      </w:tr>
      <w:tr w:rsidR="005E568A" w14:paraId="71B9E2F5" w14:textId="77777777" w:rsidTr="00623D0A">
        <w:trPr>
          <w:trHeight w:val="297"/>
        </w:trPr>
        <w:tc>
          <w:tcPr>
            <w:tcW w:w="3913" w:type="dxa"/>
          </w:tcPr>
          <w:p w14:paraId="67B68482" w14:textId="77777777" w:rsidR="005E568A" w:rsidRDefault="005E568A" w:rsidP="005E568A">
            <w:pPr>
              <w:pStyle w:val="BodyText"/>
              <w:jc w:val="both"/>
              <w:rPr>
                <w:rFonts w:ascii="Arial Black" w:hAnsi="Arial Black"/>
              </w:rPr>
            </w:pPr>
          </w:p>
        </w:tc>
        <w:tc>
          <w:tcPr>
            <w:tcW w:w="5272" w:type="dxa"/>
            <w:gridSpan w:val="2"/>
          </w:tcPr>
          <w:p w14:paraId="60066E14" w14:textId="77777777" w:rsidR="005E568A" w:rsidRPr="00623D0A" w:rsidRDefault="005E568A" w:rsidP="005E568A">
            <w:pPr>
              <w:jc w:val="both"/>
              <w:rPr>
                <w:rFonts w:cs="Arial"/>
                <w:sz w:val="12"/>
                <w:szCs w:val="12"/>
              </w:rPr>
            </w:pPr>
          </w:p>
        </w:tc>
      </w:tr>
      <w:tr w:rsidR="005E568A" w14:paraId="013479F0" w14:textId="77777777" w:rsidTr="00623D0A">
        <w:trPr>
          <w:trHeight w:val="854"/>
        </w:trPr>
        <w:tc>
          <w:tcPr>
            <w:tcW w:w="3913" w:type="dxa"/>
          </w:tcPr>
          <w:p w14:paraId="0344CE37" w14:textId="77777777" w:rsidR="005E568A" w:rsidRDefault="005E568A" w:rsidP="005E568A">
            <w:pPr>
              <w:pStyle w:val="Infotext"/>
              <w:jc w:val="both"/>
              <w:rPr>
                <w:rFonts w:ascii="Arial Black" w:hAnsi="Arial Black" w:cs="Arial"/>
              </w:rPr>
            </w:pPr>
            <w:r>
              <w:rPr>
                <w:rFonts w:ascii="Arial Black" w:hAnsi="Arial Black" w:cs="Arial"/>
              </w:rPr>
              <w:t>Wards affected:</w:t>
            </w:r>
          </w:p>
          <w:p w14:paraId="01A7B52E" w14:textId="77777777" w:rsidR="005E568A" w:rsidRDefault="005E568A" w:rsidP="005E568A">
            <w:pPr>
              <w:pStyle w:val="Infotext"/>
              <w:jc w:val="both"/>
              <w:rPr>
                <w:rFonts w:ascii="Arial Black" w:hAnsi="Arial Black" w:cs="Arial"/>
              </w:rPr>
            </w:pPr>
          </w:p>
        </w:tc>
        <w:tc>
          <w:tcPr>
            <w:tcW w:w="5272" w:type="dxa"/>
            <w:gridSpan w:val="2"/>
          </w:tcPr>
          <w:p w14:paraId="19DE44BC" w14:textId="77777777" w:rsidR="005E568A" w:rsidRPr="0076112C" w:rsidRDefault="005E568A" w:rsidP="005E568A">
            <w:pPr>
              <w:jc w:val="both"/>
              <w:rPr>
                <w:rFonts w:cs="Arial"/>
                <w:sz w:val="28"/>
                <w:szCs w:val="28"/>
              </w:rPr>
            </w:pPr>
            <w:r w:rsidRPr="0076112C">
              <w:rPr>
                <w:rFonts w:cs="Arial"/>
                <w:sz w:val="28"/>
                <w:szCs w:val="28"/>
              </w:rPr>
              <w:t>Not applicable</w:t>
            </w:r>
          </w:p>
          <w:p w14:paraId="7EFFB269" w14:textId="77777777" w:rsidR="005E568A" w:rsidRPr="00623D0A" w:rsidRDefault="005E568A" w:rsidP="005E568A">
            <w:pPr>
              <w:jc w:val="both"/>
              <w:rPr>
                <w:rFonts w:cs="Arial"/>
                <w:sz w:val="12"/>
                <w:szCs w:val="12"/>
              </w:rPr>
            </w:pPr>
          </w:p>
          <w:p w14:paraId="326C5638" w14:textId="77777777" w:rsidR="005E568A" w:rsidRDefault="005E568A" w:rsidP="005E568A">
            <w:pPr>
              <w:jc w:val="both"/>
              <w:rPr>
                <w:rFonts w:cs="Arial"/>
                <w:b/>
                <w:color w:val="FF0000"/>
                <w:sz w:val="28"/>
                <w:szCs w:val="28"/>
              </w:rPr>
            </w:pPr>
          </w:p>
        </w:tc>
      </w:tr>
      <w:tr w:rsidR="005E568A" w14:paraId="3E7B4F05" w14:textId="77777777" w:rsidTr="00623D0A">
        <w:trPr>
          <w:trHeight w:val="4552"/>
        </w:trPr>
        <w:tc>
          <w:tcPr>
            <w:tcW w:w="3913" w:type="dxa"/>
          </w:tcPr>
          <w:p w14:paraId="5536ACA0" w14:textId="77777777" w:rsidR="005E568A" w:rsidRDefault="005E568A" w:rsidP="005E568A">
            <w:pPr>
              <w:pStyle w:val="Infotext"/>
              <w:jc w:val="both"/>
              <w:rPr>
                <w:rFonts w:ascii="Arial Black" w:hAnsi="Arial Black" w:cs="Arial"/>
              </w:rPr>
            </w:pPr>
            <w:r>
              <w:rPr>
                <w:rFonts w:ascii="Arial Black" w:hAnsi="Arial Black" w:cs="Arial"/>
              </w:rPr>
              <w:t>Enclosures:</w:t>
            </w:r>
          </w:p>
          <w:p w14:paraId="2D89580F" w14:textId="77777777" w:rsidR="005E568A" w:rsidRDefault="005E568A" w:rsidP="005E568A">
            <w:pPr>
              <w:pStyle w:val="Infotext"/>
              <w:jc w:val="both"/>
              <w:rPr>
                <w:rFonts w:ascii="Arial Black" w:hAnsi="Arial Black" w:cs="Arial"/>
              </w:rPr>
            </w:pPr>
          </w:p>
          <w:p w14:paraId="090405E7" w14:textId="77777777" w:rsidR="005E568A" w:rsidRDefault="005E568A" w:rsidP="005E568A">
            <w:pPr>
              <w:pStyle w:val="Infotext"/>
              <w:jc w:val="both"/>
              <w:rPr>
                <w:rFonts w:ascii="Arial Black" w:hAnsi="Arial Black" w:cs="Arial"/>
              </w:rPr>
            </w:pPr>
          </w:p>
          <w:p w14:paraId="7A632935" w14:textId="77777777" w:rsidR="005E568A" w:rsidRDefault="005E568A" w:rsidP="005E568A">
            <w:pPr>
              <w:pStyle w:val="Infotext"/>
              <w:jc w:val="both"/>
              <w:rPr>
                <w:rFonts w:ascii="Arial Black" w:hAnsi="Arial Black" w:cs="Arial"/>
              </w:rPr>
            </w:pPr>
          </w:p>
          <w:p w14:paraId="4930E298" w14:textId="77777777" w:rsidR="005E568A" w:rsidRDefault="005E568A" w:rsidP="005E568A">
            <w:pPr>
              <w:pStyle w:val="Infotext"/>
              <w:jc w:val="both"/>
              <w:rPr>
                <w:rFonts w:ascii="Arial Black" w:hAnsi="Arial Black" w:cs="Arial"/>
              </w:rPr>
            </w:pPr>
          </w:p>
          <w:p w14:paraId="7371C34C" w14:textId="77777777" w:rsidR="005E568A" w:rsidRDefault="005E568A" w:rsidP="005E568A">
            <w:pPr>
              <w:pStyle w:val="Infotext"/>
              <w:jc w:val="both"/>
              <w:rPr>
                <w:rFonts w:ascii="Arial Black" w:hAnsi="Arial Black" w:cs="Arial"/>
              </w:rPr>
            </w:pPr>
          </w:p>
          <w:p w14:paraId="6E5E31E5" w14:textId="77777777" w:rsidR="005E568A" w:rsidRDefault="005E568A" w:rsidP="005E568A">
            <w:pPr>
              <w:pStyle w:val="Infotext"/>
              <w:jc w:val="both"/>
              <w:rPr>
                <w:rFonts w:ascii="Arial Black" w:hAnsi="Arial Black" w:cs="Arial"/>
              </w:rPr>
            </w:pPr>
          </w:p>
          <w:p w14:paraId="2EACFEA0" w14:textId="77777777" w:rsidR="005E568A" w:rsidRDefault="005E568A" w:rsidP="005E568A">
            <w:pPr>
              <w:pStyle w:val="Infotext"/>
              <w:jc w:val="both"/>
              <w:rPr>
                <w:rFonts w:ascii="Arial Black" w:hAnsi="Arial Black" w:cs="Arial"/>
              </w:rPr>
            </w:pPr>
          </w:p>
          <w:p w14:paraId="3DB11146" w14:textId="77777777" w:rsidR="005E568A" w:rsidRDefault="005E568A" w:rsidP="005E568A">
            <w:pPr>
              <w:pStyle w:val="Infotext"/>
              <w:jc w:val="both"/>
              <w:rPr>
                <w:rFonts w:ascii="Arial Black" w:hAnsi="Arial Black" w:cs="Arial"/>
              </w:rPr>
            </w:pPr>
          </w:p>
          <w:p w14:paraId="4CF07967" w14:textId="77777777" w:rsidR="005E568A" w:rsidRDefault="005E568A" w:rsidP="005E568A">
            <w:pPr>
              <w:pStyle w:val="Infotext"/>
              <w:jc w:val="both"/>
              <w:rPr>
                <w:rFonts w:ascii="Arial Black" w:hAnsi="Arial Black" w:cs="Arial"/>
              </w:rPr>
            </w:pPr>
          </w:p>
          <w:p w14:paraId="20DB4B8D" w14:textId="77777777" w:rsidR="005E568A" w:rsidRDefault="005E568A" w:rsidP="005E568A">
            <w:pPr>
              <w:pStyle w:val="Infotext"/>
              <w:jc w:val="both"/>
              <w:rPr>
                <w:rFonts w:ascii="Arial Black" w:hAnsi="Arial Black" w:cs="Arial"/>
              </w:rPr>
            </w:pPr>
          </w:p>
        </w:tc>
        <w:tc>
          <w:tcPr>
            <w:tcW w:w="5272" w:type="dxa"/>
            <w:gridSpan w:val="2"/>
          </w:tcPr>
          <w:p w14:paraId="17E02C97" w14:textId="31892E7A" w:rsidR="005E568A" w:rsidRDefault="005E568A" w:rsidP="005E568A">
            <w:pPr>
              <w:pStyle w:val="Infotext"/>
              <w:jc w:val="both"/>
              <w:rPr>
                <w:rFonts w:cs="Arial"/>
                <w:color w:val="000000" w:themeColor="text1"/>
                <w:szCs w:val="28"/>
              </w:rPr>
            </w:pPr>
            <w:r w:rsidRPr="005E568A">
              <w:rPr>
                <w:rFonts w:cs="Arial"/>
                <w:color w:val="000000" w:themeColor="text1"/>
                <w:szCs w:val="28"/>
              </w:rPr>
              <w:t xml:space="preserve">Appendix 1 – </w:t>
            </w:r>
            <w:r w:rsidR="00792B37">
              <w:rPr>
                <w:rFonts w:cs="Arial"/>
                <w:color w:val="000000" w:themeColor="text1"/>
                <w:szCs w:val="28"/>
              </w:rPr>
              <w:t xml:space="preserve">The minutes of </w:t>
            </w:r>
            <w:r w:rsidRPr="005E568A">
              <w:rPr>
                <w:rFonts w:cs="Arial"/>
                <w:color w:val="000000" w:themeColor="text1"/>
                <w:szCs w:val="28"/>
              </w:rPr>
              <w:t xml:space="preserve">Pension Fund </w:t>
            </w:r>
            <w:r w:rsidR="00871FD1">
              <w:rPr>
                <w:rFonts w:cs="Arial"/>
                <w:color w:val="000000" w:themeColor="text1"/>
                <w:szCs w:val="28"/>
              </w:rPr>
              <w:t>Committee of</w:t>
            </w:r>
            <w:r w:rsidRPr="005E568A">
              <w:rPr>
                <w:rFonts w:cs="Arial"/>
                <w:color w:val="000000" w:themeColor="text1"/>
                <w:szCs w:val="28"/>
              </w:rPr>
              <w:t xml:space="preserve"> 3</w:t>
            </w:r>
            <w:r w:rsidR="00871FD1">
              <w:rPr>
                <w:rFonts w:cs="Arial"/>
                <w:color w:val="000000" w:themeColor="text1"/>
                <w:szCs w:val="28"/>
              </w:rPr>
              <w:t>1</w:t>
            </w:r>
            <w:r>
              <w:rPr>
                <w:rFonts w:cs="Arial"/>
                <w:color w:val="000000" w:themeColor="text1"/>
                <w:szCs w:val="28"/>
              </w:rPr>
              <w:t xml:space="preserve"> Ju</w:t>
            </w:r>
            <w:r w:rsidR="00871FD1">
              <w:rPr>
                <w:rFonts w:cs="Arial"/>
                <w:color w:val="000000" w:themeColor="text1"/>
                <w:szCs w:val="28"/>
              </w:rPr>
              <w:t>ly</w:t>
            </w:r>
            <w:r w:rsidRPr="005E568A">
              <w:rPr>
                <w:rFonts w:cs="Arial"/>
                <w:color w:val="000000" w:themeColor="text1"/>
                <w:szCs w:val="28"/>
              </w:rPr>
              <w:t xml:space="preserve"> 2023</w:t>
            </w:r>
          </w:p>
          <w:p w14:paraId="43ABDB8A" w14:textId="7DAAE56D" w:rsidR="00623D0A" w:rsidRDefault="00623D0A" w:rsidP="00623D0A">
            <w:pPr>
              <w:pStyle w:val="Infotext"/>
              <w:rPr>
                <w:bCs/>
                <w:szCs w:val="28"/>
              </w:rPr>
            </w:pPr>
            <w:r>
              <w:rPr>
                <w:bCs/>
                <w:szCs w:val="28"/>
              </w:rPr>
              <w:t xml:space="preserve">Appendix 2a &amp; 2b – Fund Valuation as </w:t>
            </w:r>
            <w:proofErr w:type="gramStart"/>
            <w:r>
              <w:rPr>
                <w:bCs/>
                <w:szCs w:val="28"/>
              </w:rPr>
              <w:t>at</w:t>
            </w:r>
            <w:proofErr w:type="gramEnd"/>
            <w:r>
              <w:rPr>
                <w:bCs/>
                <w:szCs w:val="28"/>
              </w:rPr>
              <w:t xml:space="preserve"> 30 June 2023 &amp; 31 August 2023 </w:t>
            </w:r>
          </w:p>
          <w:p w14:paraId="48EE80C3" w14:textId="02AA2176" w:rsidR="00623D0A" w:rsidRDefault="00623D0A" w:rsidP="00623D0A">
            <w:pPr>
              <w:pStyle w:val="Infotext"/>
              <w:rPr>
                <w:rFonts w:cs="Arial"/>
                <w:bCs/>
                <w:szCs w:val="28"/>
              </w:rPr>
            </w:pPr>
            <w:r>
              <w:rPr>
                <w:rFonts w:cs="Arial"/>
                <w:bCs/>
                <w:szCs w:val="28"/>
              </w:rPr>
              <w:t xml:space="preserve">Appendix 3: Investment Dashboard as </w:t>
            </w:r>
            <w:proofErr w:type="gramStart"/>
            <w:r>
              <w:rPr>
                <w:rFonts w:cs="Arial"/>
                <w:bCs/>
                <w:szCs w:val="28"/>
              </w:rPr>
              <w:t>at</w:t>
            </w:r>
            <w:proofErr w:type="gramEnd"/>
            <w:r>
              <w:rPr>
                <w:rFonts w:cs="Arial"/>
                <w:bCs/>
                <w:szCs w:val="28"/>
              </w:rPr>
              <w:t xml:space="preserve"> 30 June 2023 (Aon)</w:t>
            </w:r>
          </w:p>
          <w:p w14:paraId="00CE8DF6" w14:textId="4A24932F" w:rsidR="00623D0A" w:rsidRDefault="00623D0A" w:rsidP="00623D0A">
            <w:pPr>
              <w:pStyle w:val="Default"/>
              <w:rPr>
                <w:bCs/>
                <w:sz w:val="28"/>
                <w:szCs w:val="28"/>
              </w:rPr>
            </w:pPr>
            <w:r>
              <w:rPr>
                <w:bCs/>
                <w:sz w:val="28"/>
                <w:szCs w:val="28"/>
              </w:rPr>
              <w:t>Appendix 4: PIRC Local Authority Pension Performance Indicators to 30 June 2023</w:t>
            </w:r>
          </w:p>
          <w:p w14:paraId="0F28D709" w14:textId="49FE9BFD" w:rsidR="00623D0A" w:rsidRDefault="00623D0A" w:rsidP="00623D0A">
            <w:pPr>
              <w:pStyle w:val="Default"/>
              <w:rPr>
                <w:bCs/>
                <w:sz w:val="28"/>
                <w:szCs w:val="28"/>
              </w:rPr>
            </w:pPr>
            <w:r>
              <w:rPr>
                <w:bCs/>
                <w:sz w:val="28"/>
                <w:szCs w:val="28"/>
              </w:rPr>
              <w:t>(Exempt) Appendix 5 - Executive Summary of Manager Monitoring Report (Aon)</w:t>
            </w:r>
          </w:p>
          <w:p w14:paraId="60733313" w14:textId="6C37C166" w:rsidR="005E568A" w:rsidRPr="00623D0A" w:rsidRDefault="00623D0A" w:rsidP="00623D0A">
            <w:pPr>
              <w:pStyle w:val="Default"/>
              <w:rPr>
                <w:bCs/>
                <w:sz w:val="28"/>
                <w:szCs w:val="28"/>
              </w:rPr>
            </w:pPr>
            <w:r>
              <w:rPr>
                <w:bCs/>
                <w:sz w:val="28"/>
                <w:szCs w:val="28"/>
              </w:rPr>
              <w:t xml:space="preserve">(Exempt) Appendix 6 - Report from Independent Advisor </w:t>
            </w:r>
          </w:p>
        </w:tc>
      </w:tr>
      <w:tr w:rsidR="00A160B2" w14:paraId="332F8595" w14:textId="77777777" w:rsidTr="00623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76" w:type="dxa"/>
          <w:tblHeader/>
        </w:trPr>
        <w:tc>
          <w:tcPr>
            <w:tcW w:w="8309" w:type="dxa"/>
            <w:gridSpan w:val="2"/>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623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76" w:type="dxa"/>
          <w:tblHeader/>
        </w:trPr>
        <w:tc>
          <w:tcPr>
            <w:tcW w:w="8309" w:type="dxa"/>
            <w:gridSpan w:val="2"/>
            <w:tcBorders>
              <w:left w:val="nil"/>
              <w:bottom w:val="nil"/>
              <w:right w:val="nil"/>
            </w:tcBorders>
          </w:tcPr>
          <w:p w14:paraId="53358B31" w14:textId="0A677EA7" w:rsidR="00A360D6" w:rsidRDefault="005E568A" w:rsidP="005E568A">
            <w:pPr>
              <w:jc w:val="both"/>
            </w:pPr>
            <w:r w:rsidRPr="005E568A">
              <w:t xml:space="preserve">This report summarises the matters </w:t>
            </w:r>
            <w:r>
              <w:t xml:space="preserve">the </w:t>
            </w:r>
            <w:r w:rsidRPr="005E568A">
              <w:t xml:space="preserve">Pension Fund Committee </w:t>
            </w:r>
            <w:r>
              <w:t xml:space="preserve">considered at its meeting of 19 September </w:t>
            </w:r>
            <w:r w:rsidRPr="005E568A">
              <w:t xml:space="preserve">and invites the Board to </w:t>
            </w:r>
            <w:r w:rsidR="00872DB2">
              <w:t xml:space="preserve">review, </w:t>
            </w:r>
            <w:r w:rsidRPr="005E568A">
              <w:t>agree an</w:t>
            </w:r>
            <w:r w:rsidR="00872DB2">
              <w:t>d add</w:t>
            </w:r>
            <w:r w:rsidRPr="005E568A">
              <w:t xml:space="preserve"> comments they might wish to </w:t>
            </w:r>
            <w:r w:rsidR="00F439E2">
              <w:t>forward</w:t>
            </w:r>
            <w:r w:rsidRPr="005E568A">
              <w:t xml:space="preserve"> to the Pension Fund Committee.</w:t>
            </w:r>
          </w:p>
          <w:p w14:paraId="2C118A74" w14:textId="77777777" w:rsidR="005E568A" w:rsidRDefault="005E568A" w:rsidP="005E568A">
            <w:pPr>
              <w:jc w:val="both"/>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117FD4AD" w:rsidR="00A160B2" w:rsidRDefault="005E568A" w:rsidP="006228B5">
            <w:pPr>
              <w:jc w:val="both"/>
            </w:pPr>
            <w:r w:rsidRPr="005E568A">
              <w:t>The Board is requested to note the report and comment as necessary</w:t>
            </w:r>
            <w:r>
              <w:t>.</w:t>
            </w:r>
          </w:p>
        </w:tc>
      </w:tr>
    </w:tbl>
    <w:p w14:paraId="53DC7DE2" w14:textId="5FD3C41D" w:rsidR="002A2389" w:rsidRDefault="002A2389" w:rsidP="00F439E2">
      <w:pPr>
        <w:pStyle w:val="Heading2"/>
        <w:ind w:firstLine="142"/>
      </w:pPr>
      <w:r>
        <w:t>Section 2 – Report</w:t>
      </w:r>
    </w:p>
    <w:p w14:paraId="31B7F372" w14:textId="77777777" w:rsidR="0034629E" w:rsidRPr="0034629E" w:rsidRDefault="0034629E" w:rsidP="0034629E"/>
    <w:p w14:paraId="4A4C39B7" w14:textId="6FBBA4B1" w:rsidR="005E568A" w:rsidRDefault="005E568A" w:rsidP="005E568A">
      <w:pPr>
        <w:numPr>
          <w:ilvl w:val="0"/>
          <w:numId w:val="30"/>
        </w:numPr>
        <w:ind w:hanging="1287"/>
        <w:jc w:val="both"/>
      </w:pPr>
      <w:r>
        <w:t xml:space="preserve">The Pension Fund Committee last met on </w:t>
      </w:r>
      <w:r w:rsidR="00872DB2">
        <w:t>1</w:t>
      </w:r>
      <w:r w:rsidR="00BC70BE">
        <w:t>9</w:t>
      </w:r>
      <w:r w:rsidR="00872DB2">
        <w:t xml:space="preserve"> September</w:t>
      </w:r>
      <w:r>
        <w:t xml:space="preserve"> 2023. The Board</w:t>
      </w:r>
      <w:r w:rsidR="00872DB2">
        <w:t xml:space="preserve"> only </w:t>
      </w:r>
      <w:r>
        <w:t xml:space="preserve">reviewed the items which the Committee considered at its meeting </w:t>
      </w:r>
      <w:r w:rsidR="00872DB2">
        <w:t>of 31 July 2023 at their meeting of 12 July</w:t>
      </w:r>
      <w:r>
        <w:t xml:space="preserve"> 2023</w:t>
      </w:r>
      <w:r w:rsidR="00F439E2">
        <w:t>, the minutes of the Pension Fund Committee is attached to this report as Appendix 1</w:t>
      </w:r>
      <w:r>
        <w:t xml:space="preserve">. </w:t>
      </w:r>
    </w:p>
    <w:p w14:paraId="694EECA2" w14:textId="77777777" w:rsidR="005E568A" w:rsidRDefault="005E568A" w:rsidP="005E568A">
      <w:pPr>
        <w:ind w:left="720"/>
        <w:jc w:val="both"/>
      </w:pPr>
    </w:p>
    <w:p w14:paraId="13D8E3D0" w14:textId="4722878B" w:rsidR="005E568A" w:rsidRDefault="005E568A" w:rsidP="005E568A">
      <w:pPr>
        <w:numPr>
          <w:ilvl w:val="0"/>
          <w:numId w:val="30"/>
        </w:numPr>
        <w:ind w:hanging="1287"/>
        <w:jc w:val="both"/>
      </w:pPr>
      <w:r>
        <w:t xml:space="preserve">The Committee’s </w:t>
      </w:r>
      <w:r w:rsidR="00F439E2">
        <w:t>last</w:t>
      </w:r>
      <w:r>
        <w:t xml:space="preserve"> meeting </w:t>
      </w:r>
      <w:r w:rsidR="00F439E2">
        <w:t>was</w:t>
      </w:r>
      <w:r>
        <w:t xml:space="preserve"> on 1</w:t>
      </w:r>
      <w:r w:rsidR="00F439E2">
        <w:t>9</w:t>
      </w:r>
      <w:r>
        <w:t xml:space="preserve"> </w:t>
      </w:r>
      <w:r w:rsidR="00F439E2">
        <w:t>Septem</w:t>
      </w:r>
      <w:r w:rsidR="00872DB2">
        <w:t>ber</w:t>
      </w:r>
      <w:r>
        <w:t xml:space="preserve"> 2023. The items considered are summarised in the table below. Several of the items are the subject of separate reports to be considered elsewhere on this agenda, providing the opportunity for the Board’s comments to be forwarded to the Committee</w:t>
      </w:r>
      <w:r w:rsidR="00F439E2">
        <w:t>.</w:t>
      </w:r>
      <w:r>
        <w:t xml:space="preserve"> </w:t>
      </w:r>
    </w:p>
    <w:p w14:paraId="02A857B1" w14:textId="77777777" w:rsidR="005E568A" w:rsidRDefault="005E568A" w:rsidP="005E568A">
      <w:pPr>
        <w:pStyle w:val="ListParagraph"/>
      </w:pPr>
    </w:p>
    <w:p w14:paraId="0F38CC76" w14:textId="6306633C" w:rsidR="005E568A" w:rsidRPr="00ED1007" w:rsidRDefault="005E568A" w:rsidP="005E568A">
      <w:pPr>
        <w:numPr>
          <w:ilvl w:val="0"/>
          <w:numId w:val="30"/>
        </w:numPr>
        <w:ind w:hanging="1287"/>
        <w:jc w:val="both"/>
      </w:pPr>
      <w:r>
        <w:t xml:space="preserve">The list of items </w:t>
      </w:r>
      <w:r w:rsidR="00F439E2">
        <w:t>considered at</w:t>
      </w:r>
      <w:r>
        <w:t xml:space="preserve"> the Committee’s meeting o</w:t>
      </w:r>
      <w:r w:rsidR="00792B37">
        <w:t>f</w:t>
      </w:r>
      <w:r>
        <w:t xml:space="preserve"> 1</w:t>
      </w:r>
      <w:r w:rsidR="00F439E2">
        <w:t>9</w:t>
      </w:r>
      <w:r>
        <w:t xml:space="preserve"> </w:t>
      </w:r>
      <w:r w:rsidR="00F439E2">
        <w:t>Sep</w:t>
      </w:r>
      <w:r w:rsidR="004D6661">
        <w:t>tember</w:t>
      </w:r>
      <w:r>
        <w:t xml:space="preserve"> 2023 is as follows:</w:t>
      </w:r>
    </w:p>
    <w:p w14:paraId="11089653" w14:textId="77777777" w:rsidR="005E568A" w:rsidRDefault="005E568A" w:rsidP="005E568A">
      <w:pPr>
        <w:ind w:left="720"/>
        <w:rPr>
          <w:bCs/>
          <w:szCs w:val="24"/>
        </w:rPr>
      </w:pPr>
    </w:p>
    <w:tbl>
      <w:tblPr>
        <w:tblStyle w:val="TableGrid"/>
        <w:tblW w:w="7780" w:type="dxa"/>
        <w:tblInd w:w="720" w:type="dxa"/>
        <w:tblLook w:val="04A0" w:firstRow="1" w:lastRow="0" w:firstColumn="1" w:lastColumn="0" w:noHBand="0" w:noVBand="1"/>
      </w:tblPr>
      <w:tblGrid>
        <w:gridCol w:w="2536"/>
        <w:gridCol w:w="5244"/>
      </w:tblGrid>
      <w:tr w:rsidR="005E568A" w:rsidRPr="00ED1007" w14:paraId="2C9F0C49" w14:textId="77777777" w:rsidTr="00623D0A">
        <w:tc>
          <w:tcPr>
            <w:tcW w:w="2536" w:type="dxa"/>
            <w:shd w:val="clear" w:color="auto" w:fill="auto"/>
          </w:tcPr>
          <w:p w14:paraId="67AA40DE" w14:textId="77777777" w:rsidR="005E568A" w:rsidRPr="00ED1007" w:rsidRDefault="005E568A" w:rsidP="00963EE5">
            <w:pPr>
              <w:rPr>
                <w:b/>
                <w:szCs w:val="24"/>
              </w:rPr>
            </w:pPr>
            <w:r w:rsidRPr="00ED1007">
              <w:rPr>
                <w:b/>
                <w:szCs w:val="24"/>
              </w:rPr>
              <w:t>Report</w:t>
            </w:r>
          </w:p>
        </w:tc>
        <w:tc>
          <w:tcPr>
            <w:tcW w:w="5244" w:type="dxa"/>
            <w:shd w:val="clear" w:color="auto" w:fill="auto"/>
          </w:tcPr>
          <w:p w14:paraId="098774F8" w14:textId="77777777" w:rsidR="005E568A" w:rsidRPr="00ED1007" w:rsidRDefault="005E568A" w:rsidP="00963EE5">
            <w:pPr>
              <w:rPr>
                <w:b/>
                <w:szCs w:val="24"/>
              </w:rPr>
            </w:pPr>
            <w:r w:rsidRPr="00ED1007">
              <w:rPr>
                <w:b/>
                <w:szCs w:val="24"/>
              </w:rPr>
              <w:t>Comments</w:t>
            </w:r>
          </w:p>
        </w:tc>
      </w:tr>
      <w:tr w:rsidR="005E568A" w:rsidRPr="00ED1007" w14:paraId="69792072" w14:textId="77777777" w:rsidTr="00623D0A">
        <w:tc>
          <w:tcPr>
            <w:tcW w:w="2536" w:type="dxa"/>
            <w:shd w:val="clear" w:color="auto" w:fill="auto"/>
          </w:tcPr>
          <w:p w14:paraId="6CA71D37" w14:textId="77777777" w:rsidR="005E568A" w:rsidRPr="00ED1007" w:rsidRDefault="005E568A" w:rsidP="00963EE5">
            <w:pPr>
              <w:rPr>
                <w:b/>
                <w:szCs w:val="24"/>
              </w:rPr>
            </w:pPr>
            <w:r w:rsidRPr="00ED1007">
              <w:rPr>
                <w:b/>
                <w:szCs w:val="24"/>
              </w:rPr>
              <w:t>Part I</w:t>
            </w:r>
          </w:p>
        </w:tc>
        <w:tc>
          <w:tcPr>
            <w:tcW w:w="5244" w:type="dxa"/>
            <w:shd w:val="clear" w:color="auto" w:fill="auto"/>
          </w:tcPr>
          <w:p w14:paraId="6218B8DF" w14:textId="77777777" w:rsidR="005E568A" w:rsidRPr="00ED1007" w:rsidRDefault="005E568A" w:rsidP="00963EE5">
            <w:pPr>
              <w:rPr>
                <w:bCs/>
                <w:szCs w:val="24"/>
              </w:rPr>
            </w:pPr>
          </w:p>
        </w:tc>
      </w:tr>
      <w:tr w:rsidR="005E568A" w:rsidRPr="00ED1007" w14:paraId="2D38F463" w14:textId="77777777" w:rsidTr="00623D0A">
        <w:tc>
          <w:tcPr>
            <w:tcW w:w="2536" w:type="dxa"/>
          </w:tcPr>
          <w:p w14:paraId="66DEA2A8" w14:textId="77777777" w:rsidR="005E568A" w:rsidRPr="00ED1007" w:rsidRDefault="005E568A" w:rsidP="00963EE5">
            <w:pPr>
              <w:rPr>
                <w:bCs/>
                <w:szCs w:val="24"/>
              </w:rPr>
            </w:pPr>
            <w:r w:rsidRPr="00ED1007">
              <w:t>Performance Dashboard and Update on Regular items</w:t>
            </w:r>
          </w:p>
        </w:tc>
        <w:tc>
          <w:tcPr>
            <w:tcW w:w="5244" w:type="dxa"/>
          </w:tcPr>
          <w:p w14:paraId="061300CB" w14:textId="1AE2D087" w:rsidR="005E568A" w:rsidRPr="00ED1007" w:rsidRDefault="005E568A" w:rsidP="00963EE5">
            <w:pPr>
              <w:rPr>
                <w:bCs/>
                <w:szCs w:val="24"/>
              </w:rPr>
            </w:pPr>
            <w:r w:rsidRPr="00ED1007">
              <w:rPr>
                <w:bCs/>
                <w:szCs w:val="24"/>
              </w:rPr>
              <w:t xml:space="preserve">The Committee </w:t>
            </w:r>
            <w:r>
              <w:rPr>
                <w:bCs/>
                <w:szCs w:val="24"/>
              </w:rPr>
              <w:t>review</w:t>
            </w:r>
            <w:r w:rsidR="00872DB2">
              <w:rPr>
                <w:bCs/>
                <w:szCs w:val="24"/>
              </w:rPr>
              <w:t>ed</w:t>
            </w:r>
            <w:r>
              <w:rPr>
                <w:bCs/>
                <w:szCs w:val="24"/>
              </w:rPr>
              <w:t xml:space="preserve"> </w:t>
            </w:r>
            <w:r w:rsidRPr="00ED1007">
              <w:rPr>
                <w:bCs/>
                <w:szCs w:val="24"/>
              </w:rPr>
              <w:t xml:space="preserve">the position of the Fund at the end of </w:t>
            </w:r>
            <w:r>
              <w:rPr>
                <w:bCs/>
                <w:szCs w:val="24"/>
              </w:rPr>
              <w:t>Q</w:t>
            </w:r>
            <w:r w:rsidR="00872DB2">
              <w:rPr>
                <w:bCs/>
                <w:szCs w:val="24"/>
              </w:rPr>
              <w:t>2</w:t>
            </w:r>
            <w:r w:rsidRPr="00ED1007">
              <w:rPr>
                <w:bCs/>
                <w:szCs w:val="24"/>
              </w:rPr>
              <w:t xml:space="preserve"> 202</w:t>
            </w:r>
            <w:r>
              <w:rPr>
                <w:bCs/>
                <w:szCs w:val="24"/>
              </w:rPr>
              <w:t>3</w:t>
            </w:r>
            <w:r w:rsidRPr="00ED1007">
              <w:rPr>
                <w:bCs/>
                <w:szCs w:val="24"/>
              </w:rPr>
              <w:t xml:space="preserve"> (3</w:t>
            </w:r>
            <w:r w:rsidR="00872DB2">
              <w:rPr>
                <w:bCs/>
                <w:szCs w:val="24"/>
              </w:rPr>
              <w:t>0</w:t>
            </w:r>
            <w:r w:rsidRPr="00ED1007">
              <w:rPr>
                <w:bCs/>
                <w:szCs w:val="24"/>
              </w:rPr>
              <w:t xml:space="preserve"> </w:t>
            </w:r>
            <w:r w:rsidR="00872DB2">
              <w:rPr>
                <w:bCs/>
                <w:szCs w:val="24"/>
              </w:rPr>
              <w:t>June</w:t>
            </w:r>
            <w:r>
              <w:rPr>
                <w:bCs/>
                <w:szCs w:val="24"/>
              </w:rPr>
              <w:t xml:space="preserve"> 2023</w:t>
            </w:r>
            <w:r w:rsidRPr="00ED1007">
              <w:rPr>
                <w:bCs/>
                <w:szCs w:val="24"/>
              </w:rPr>
              <w:t>)</w:t>
            </w:r>
            <w:r>
              <w:rPr>
                <w:bCs/>
                <w:szCs w:val="24"/>
              </w:rPr>
              <w:t>, receive</w:t>
            </w:r>
            <w:r w:rsidR="00F439E2">
              <w:rPr>
                <w:bCs/>
                <w:szCs w:val="24"/>
              </w:rPr>
              <w:t>d</w:t>
            </w:r>
            <w:r>
              <w:rPr>
                <w:bCs/>
                <w:szCs w:val="24"/>
              </w:rPr>
              <w:t xml:space="preserve"> an update on things which have happened in the </w:t>
            </w:r>
            <w:r w:rsidR="00F439E2">
              <w:rPr>
                <w:bCs/>
                <w:szCs w:val="24"/>
              </w:rPr>
              <w:t>reporting</w:t>
            </w:r>
            <w:r>
              <w:rPr>
                <w:bCs/>
                <w:szCs w:val="24"/>
              </w:rPr>
              <w:t xml:space="preserve"> quarter</w:t>
            </w:r>
            <w:r w:rsidRPr="00ED1007">
              <w:rPr>
                <w:bCs/>
                <w:szCs w:val="24"/>
              </w:rPr>
              <w:t xml:space="preserve"> and</w:t>
            </w:r>
            <w:r>
              <w:rPr>
                <w:bCs/>
                <w:szCs w:val="24"/>
              </w:rPr>
              <w:t xml:space="preserve"> asked to agree</w:t>
            </w:r>
            <w:r w:rsidRPr="00ED1007">
              <w:rPr>
                <w:bCs/>
                <w:szCs w:val="24"/>
              </w:rPr>
              <w:t xml:space="preserve"> a draft work programme </w:t>
            </w:r>
            <w:r w:rsidR="00F439E2">
              <w:rPr>
                <w:bCs/>
                <w:szCs w:val="24"/>
              </w:rPr>
              <w:t>of</w:t>
            </w:r>
            <w:r w:rsidRPr="00ED1007">
              <w:rPr>
                <w:bCs/>
                <w:szCs w:val="24"/>
              </w:rPr>
              <w:t xml:space="preserve"> the Committee for the </w:t>
            </w:r>
            <w:r>
              <w:rPr>
                <w:bCs/>
                <w:szCs w:val="24"/>
              </w:rPr>
              <w:t xml:space="preserve">rest of the </w:t>
            </w:r>
            <w:r w:rsidRPr="00ED1007">
              <w:rPr>
                <w:bCs/>
                <w:szCs w:val="24"/>
              </w:rPr>
              <w:t>202</w:t>
            </w:r>
            <w:r>
              <w:rPr>
                <w:bCs/>
                <w:szCs w:val="24"/>
              </w:rPr>
              <w:t>3-24</w:t>
            </w:r>
            <w:r w:rsidRPr="00ED1007">
              <w:rPr>
                <w:bCs/>
                <w:szCs w:val="24"/>
              </w:rPr>
              <w:t xml:space="preserve"> municipal year. </w:t>
            </w:r>
          </w:p>
          <w:p w14:paraId="22122598" w14:textId="77777777" w:rsidR="005E568A" w:rsidRPr="00ED1007" w:rsidRDefault="005E568A" w:rsidP="00963EE5">
            <w:pPr>
              <w:rPr>
                <w:bCs/>
                <w:szCs w:val="24"/>
              </w:rPr>
            </w:pPr>
          </w:p>
        </w:tc>
      </w:tr>
      <w:tr w:rsidR="005E568A" w:rsidRPr="00ED1007" w14:paraId="05158355" w14:textId="77777777" w:rsidTr="00623D0A">
        <w:tc>
          <w:tcPr>
            <w:tcW w:w="2536" w:type="dxa"/>
          </w:tcPr>
          <w:p w14:paraId="7D044E55" w14:textId="6EB88C47" w:rsidR="005E568A" w:rsidRDefault="005E568A" w:rsidP="00963EE5">
            <w:r>
              <w:t xml:space="preserve">Review of </w:t>
            </w:r>
            <w:r w:rsidR="004D6661" w:rsidRPr="004D6661">
              <w:t>Draft Pension Fund Annual Report 2022/23</w:t>
            </w:r>
          </w:p>
          <w:p w14:paraId="293E00F3" w14:textId="77777777" w:rsidR="005E568A" w:rsidRDefault="005E568A" w:rsidP="00963EE5"/>
        </w:tc>
        <w:tc>
          <w:tcPr>
            <w:tcW w:w="5244" w:type="dxa"/>
            <w:shd w:val="clear" w:color="auto" w:fill="auto"/>
          </w:tcPr>
          <w:p w14:paraId="4AB73DAC" w14:textId="00266D44" w:rsidR="005E568A" w:rsidRDefault="005E568A" w:rsidP="00963EE5">
            <w:pPr>
              <w:rPr>
                <w:bCs/>
                <w:szCs w:val="24"/>
              </w:rPr>
            </w:pPr>
            <w:r>
              <w:rPr>
                <w:bCs/>
                <w:szCs w:val="24"/>
              </w:rPr>
              <w:t xml:space="preserve">The Committee </w:t>
            </w:r>
            <w:r w:rsidR="004D6661" w:rsidRPr="004D6661">
              <w:rPr>
                <w:bCs/>
                <w:szCs w:val="24"/>
              </w:rPr>
              <w:t>received the Draft Pension Fund Annual Report for 2022-2023</w:t>
            </w:r>
            <w:r>
              <w:rPr>
                <w:bCs/>
                <w:szCs w:val="24"/>
              </w:rPr>
              <w:t>.</w:t>
            </w:r>
          </w:p>
          <w:p w14:paraId="6A100ED2" w14:textId="405976D5" w:rsidR="005E568A" w:rsidRPr="00ED1007" w:rsidRDefault="005E568A" w:rsidP="00792B37">
            <w:pPr>
              <w:rPr>
                <w:bCs/>
                <w:szCs w:val="24"/>
              </w:rPr>
            </w:pPr>
            <w:r>
              <w:rPr>
                <w:bCs/>
                <w:szCs w:val="24"/>
              </w:rPr>
              <w:t xml:space="preserve">This item </w:t>
            </w:r>
            <w:r w:rsidR="00792B37">
              <w:rPr>
                <w:bCs/>
                <w:szCs w:val="24"/>
              </w:rPr>
              <w:t xml:space="preserve">advised that </w:t>
            </w:r>
            <w:r w:rsidR="00792B37" w:rsidRPr="00792B37">
              <w:rPr>
                <w:bCs/>
                <w:szCs w:val="24"/>
              </w:rPr>
              <w:t xml:space="preserve">the Fund’s assets had decreased by £63m in the financial year. The </w:t>
            </w:r>
            <w:r w:rsidR="00792B37">
              <w:rPr>
                <w:bCs/>
                <w:szCs w:val="24"/>
              </w:rPr>
              <w:t xml:space="preserve">Fund </w:t>
            </w:r>
            <w:r w:rsidR="00792B37" w:rsidRPr="00792B37">
              <w:rPr>
                <w:bCs/>
                <w:szCs w:val="24"/>
              </w:rPr>
              <w:t xml:space="preserve">value depreciation was due to the underperformance of the financial markets in which the Fund held its investments and a net withdrawals of fund expenditure over income. </w:t>
            </w:r>
          </w:p>
        </w:tc>
      </w:tr>
      <w:tr w:rsidR="005E568A" w:rsidRPr="00ED1007" w14:paraId="7B167B9C" w14:textId="77777777" w:rsidTr="00623D0A">
        <w:tc>
          <w:tcPr>
            <w:tcW w:w="2536" w:type="dxa"/>
          </w:tcPr>
          <w:p w14:paraId="255BFCB7" w14:textId="5CFA8B72" w:rsidR="005E568A" w:rsidRDefault="005E568A" w:rsidP="00963EE5">
            <w:r>
              <w:t xml:space="preserve">Review </w:t>
            </w:r>
            <w:r w:rsidR="004D6661" w:rsidRPr="004D6661">
              <w:t xml:space="preserve">the Quarterly Local Government Pension Scheme (LGPS) Update and Harrow Pension Administration </w:t>
            </w:r>
            <w:r w:rsidR="004D6661" w:rsidRPr="004D6661">
              <w:lastRenderedPageBreak/>
              <w:t>Update with Key Performances</w:t>
            </w:r>
          </w:p>
        </w:tc>
        <w:tc>
          <w:tcPr>
            <w:tcW w:w="5244" w:type="dxa"/>
            <w:shd w:val="clear" w:color="auto" w:fill="auto"/>
          </w:tcPr>
          <w:p w14:paraId="54FAD218" w14:textId="69B14C03" w:rsidR="005E568A" w:rsidRDefault="005E568A" w:rsidP="00963EE5">
            <w:pPr>
              <w:rPr>
                <w:bCs/>
                <w:szCs w:val="24"/>
              </w:rPr>
            </w:pPr>
            <w:r>
              <w:rPr>
                <w:bCs/>
                <w:szCs w:val="24"/>
              </w:rPr>
              <w:lastRenderedPageBreak/>
              <w:t xml:space="preserve">The Committee </w:t>
            </w:r>
            <w:r w:rsidR="004D6661" w:rsidRPr="004D6661">
              <w:rPr>
                <w:bCs/>
                <w:szCs w:val="24"/>
              </w:rPr>
              <w:t>received the Quarterly Local Government Pension Scheme (LGPS) Update and Harrow Pension Administration Update with Key Performances.</w:t>
            </w:r>
          </w:p>
          <w:p w14:paraId="7664FB95" w14:textId="4D428451" w:rsidR="005E568A" w:rsidRDefault="005E568A" w:rsidP="00963EE5">
            <w:pPr>
              <w:rPr>
                <w:bCs/>
                <w:szCs w:val="24"/>
              </w:rPr>
            </w:pPr>
            <w:r>
              <w:rPr>
                <w:bCs/>
                <w:szCs w:val="24"/>
              </w:rPr>
              <w:t xml:space="preserve">This item </w:t>
            </w:r>
            <w:r w:rsidR="004D6661" w:rsidRPr="004D6661">
              <w:rPr>
                <w:bCs/>
                <w:szCs w:val="24"/>
              </w:rPr>
              <w:t xml:space="preserve">provided </w:t>
            </w:r>
            <w:r w:rsidR="004D6661">
              <w:rPr>
                <w:bCs/>
                <w:szCs w:val="24"/>
              </w:rPr>
              <w:t>Committee</w:t>
            </w:r>
            <w:r w:rsidR="004D6661" w:rsidRPr="004D6661">
              <w:rPr>
                <w:bCs/>
                <w:szCs w:val="24"/>
              </w:rPr>
              <w:t xml:space="preserve"> with information relating to the administration performance of </w:t>
            </w:r>
            <w:r w:rsidR="004D6661" w:rsidRPr="004D6661">
              <w:rPr>
                <w:bCs/>
                <w:szCs w:val="24"/>
              </w:rPr>
              <w:lastRenderedPageBreak/>
              <w:t>the Fund over the last quarter, and an update on latest key LGPS issues and developments.</w:t>
            </w:r>
          </w:p>
          <w:p w14:paraId="1B147699" w14:textId="77777777" w:rsidR="005E568A" w:rsidRDefault="005E568A" w:rsidP="00963EE5">
            <w:pPr>
              <w:rPr>
                <w:bCs/>
                <w:szCs w:val="24"/>
              </w:rPr>
            </w:pPr>
          </w:p>
        </w:tc>
      </w:tr>
      <w:tr w:rsidR="005E568A" w:rsidRPr="00ED1007" w14:paraId="26880591" w14:textId="77777777" w:rsidTr="00623D0A">
        <w:tc>
          <w:tcPr>
            <w:tcW w:w="2536" w:type="dxa"/>
          </w:tcPr>
          <w:p w14:paraId="2890FA12" w14:textId="77777777" w:rsidR="005E568A" w:rsidRPr="00ED1007" w:rsidRDefault="005E568A" w:rsidP="00963EE5">
            <w:pPr>
              <w:rPr>
                <w:b/>
                <w:szCs w:val="24"/>
              </w:rPr>
            </w:pPr>
            <w:r w:rsidRPr="00ED1007">
              <w:rPr>
                <w:b/>
                <w:szCs w:val="24"/>
              </w:rPr>
              <w:lastRenderedPageBreak/>
              <w:t>Part II</w:t>
            </w:r>
          </w:p>
        </w:tc>
        <w:tc>
          <w:tcPr>
            <w:tcW w:w="5244" w:type="dxa"/>
          </w:tcPr>
          <w:p w14:paraId="5CD65BAE" w14:textId="77777777" w:rsidR="005E568A" w:rsidRPr="00ED1007" w:rsidRDefault="005E568A" w:rsidP="00963EE5">
            <w:pPr>
              <w:rPr>
                <w:bCs/>
                <w:szCs w:val="24"/>
              </w:rPr>
            </w:pPr>
          </w:p>
        </w:tc>
      </w:tr>
      <w:tr w:rsidR="005E568A" w:rsidRPr="00ED1007" w14:paraId="3837F306" w14:textId="77777777" w:rsidTr="00623D0A">
        <w:tc>
          <w:tcPr>
            <w:tcW w:w="2536" w:type="dxa"/>
          </w:tcPr>
          <w:p w14:paraId="4B4A5FF8" w14:textId="77777777" w:rsidR="005E568A" w:rsidRDefault="005E568A" w:rsidP="00963EE5">
            <w:r w:rsidRPr="00ED1007">
              <w:t>Performance Dashboard and Update on Regular items</w:t>
            </w:r>
          </w:p>
          <w:p w14:paraId="7F509431" w14:textId="77777777" w:rsidR="005E568A" w:rsidRPr="00ED1007" w:rsidRDefault="005E568A" w:rsidP="00963EE5">
            <w:pPr>
              <w:rPr>
                <w:bCs/>
                <w:szCs w:val="24"/>
              </w:rPr>
            </w:pPr>
          </w:p>
        </w:tc>
        <w:tc>
          <w:tcPr>
            <w:tcW w:w="5244" w:type="dxa"/>
          </w:tcPr>
          <w:p w14:paraId="5152199B" w14:textId="47E5B3EF" w:rsidR="005E568A" w:rsidRDefault="005E568A" w:rsidP="00963EE5">
            <w:pPr>
              <w:rPr>
                <w:szCs w:val="24"/>
              </w:rPr>
            </w:pPr>
            <w:r>
              <w:rPr>
                <w:szCs w:val="24"/>
              </w:rPr>
              <w:t>The Committee consider</w:t>
            </w:r>
            <w:r w:rsidR="00F439E2">
              <w:rPr>
                <w:szCs w:val="24"/>
              </w:rPr>
              <w:t>ed</w:t>
            </w:r>
            <w:r>
              <w:rPr>
                <w:szCs w:val="24"/>
              </w:rPr>
              <w:t xml:space="preserve"> comments </w:t>
            </w:r>
            <w:r w:rsidR="00F439E2">
              <w:rPr>
                <w:szCs w:val="24"/>
              </w:rPr>
              <w:t>and</w:t>
            </w:r>
            <w:r>
              <w:rPr>
                <w:szCs w:val="24"/>
              </w:rPr>
              <w:t xml:space="preserve"> reports from the Investment Consultant and an Independent Advisor on investment managers’ performance. </w:t>
            </w:r>
          </w:p>
          <w:p w14:paraId="55AD283F" w14:textId="548946C2" w:rsidR="005E568A" w:rsidRDefault="005E568A" w:rsidP="00963EE5">
            <w:pPr>
              <w:rPr>
                <w:szCs w:val="24"/>
              </w:rPr>
            </w:pPr>
            <w:r w:rsidRPr="00ED1007">
              <w:rPr>
                <w:szCs w:val="24"/>
              </w:rPr>
              <w:t>The</w:t>
            </w:r>
            <w:r>
              <w:rPr>
                <w:szCs w:val="24"/>
              </w:rPr>
              <w:t>se</w:t>
            </w:r>
            <w:r w:rsidRPr="00ED1007">
              <w:rPr>
                <w:szCs w:val="24"/>
              </w:rPr>
              <w:t xml:space="preserve"> report</w:t>
            </w:r>
            <w:r>
              <w:rPr>
                <w:szCs w:val="24"/>
              </w:rPr>
              <w:t>s</w:t>
            </w:r>
            <w:r w:rsidRPr="00ED1007">
              <w:rPr>
                <w:szCs w:val="24"/>
              </w:rPr>
              <w:t xml:space="preserve"> </w:t>
            </w:r>
            <w:r>
              <w:rPr>
                <w:szCs w:val="24"/>
              </w:rPr>
              <w:t>w</w:t>
            </w:r>
            <w:r w:rsidR="00F439E2">
              <w:rPr>
                <w:szCs w:val="24"/>
              </w:rPr>
              <w:t>ere</w:t>
            </w:r>
            <w:r>
              <w:rPr>
                <w:szCs w:val="24"/>
              </w:rPr>
              <w:t xml:space="preserve"> considered </w:t>
            </w:r>
            <w:r w:rsidRPr="00ED1007">
              <w:rPr>
                <w:szCs w:val="24"/>
              </w:rPr>
              <w:t xml:space="preserve">in part </w:t>
            </w:r>
            <w:r>
              <w:rPr>
                <w:szCs w:val="24"/>
              </w:rPr>
              <w:t>II</w:t>
            </w:r>
            <w:r w:rsidRPr="00ED1007">
              <w:rPr>
                <w:szCs w:val="24"/>
              </w:rPr>
              <w:t xml:space="preserve"> </w:t>
            </w:r>
            <w:r>
              <w:rPr>
                <w:szCs w:val="24"/>
              </w:rPr>
              <w:t>because of the sensitive nature of investment decisions.</w:t>
            </w:r>
          </w:p>
          <w:p w14:paraId="6EEDEA07" w14:textId="77777777" w:rsidR="005E568A" w:rsidRPr="00DE6259" w:rsidRDefault="005E568A" w:rsidP="00963EE5">
            <w:pPr>
              <w:rPr>
                <w:szCs w:val="24"/>
              </w:rPr>
            </w:pPr>
          </w:p>
        </w:tc>
      </w:tr>
      <w:tr w:rsidR="004D6661" w:rsidRPr="00ED1007" w14:paraId="6CBA6D73" w14:textId="77777777" w:rsidTr="00623D0A">
        <w:tc>
          <w:tcPr>
            <w:tcW w:w="2536" w:type="dxa"/>
          </w:tcPr>
          <w:p w14:paraId="38A8D066" w14:textId="0F4B8C9E" w:rsidR="004D6661" w:rsidRPr="00ED1007" w:rsidRDefault="00792B37" w:rsidP="00963EE5">
            <w:r>
              <w:rPr>
                <w:rFonts w:cs="Arial"/>
                <w:color w:val="262626"/>
                <w:shd w:val="clear" w:color="auto" w:fill="FFFFFF"/>
              </w:rPr>
              <w:t>London Collective Investment Vehicle (CIV) and Investment Pooling Update</w:t>
            </w:r>
          </w:p>
        </w:tc>
        <w:tc>
          <w:tcPr>
            <w:tcW w:w="5244" w:type="dxa"/>
          </w:tcPr>
          <w:p w14:paraId="7B44A7E9" w14:textId="28782B65" w:rsidR="00792B37" w:rsidRPr="00792B37" w:rsidRDefault="00792B37" w:rsidP="00792B37">
            <w:pPr>
              <w:rPr>
                <w:szCs w:val="24"/>
              </w:rPr>
            </w:pPr>
            <w:r w:rsidRPr="00792B37">
              <w:rPr>
                <w:szCs w:val="24"/>
              </w:rPr>
              <w:t>The</w:t>
            </w:r>
            <w:r>
              <w:rPr>
                <w:szCs w:val="24"/>
              </w:rPr>
              <w:t xml:space="preserve"> item</w:t>
            </w:r>
            <w:r w:rsidRPr="00792B37">
              <w:rPr>
                <w:szCs w:val="24"/>
              </w:rPr>
              <w:t xml:space="preserve"> provided an update on the current position on Investment Pooling and Harrow Pension Fund’s own pooling arrangements with the London CIV. </w:t>
            </w:r>
          </w:p>
          <w:p w14:paraId="3F4FA003" w14:textId="31CA6EE5" w:rsidR="004D6661" w:rsidRDefault="00792B37" w:rsidP="00792B37">
            <w:pPr>
              <w:rPr>
                <w:szCs w:val="24"/>
              </w:rPr>
            </w:pPr>
            <w:r>
              <w:rPr>
                <w:szCs w:val="24"/>
              </w:rPr>
              <w:t>T</w:t>
            </w:r>
            <w:r w:rsidRPr="00792B37">
              <w:rPr>
                <w:szCs w:val="24"/>
              </w:rPr>
              <w:t>he “direction of travel” with the London CIV, and th</w:t>
            </w:r>
            <w:r>
              <w:rPr>
                <w:szCs w:val="24"/>
              </w:rPr>
              <w:t>eir</w:t>
            </w:r>
            <w:r w:rsidRPr="00792B37">
              <w:rPr>
                <w:szCs w:val="24"/>
              </w:rPr>
              <w:t xml:space="preserve"> list of funds, given the Mansion House Speech delivered by the Chancellor of the Exchequer 10 July 2023</w:t>
            </w:r>
            <w:r>
              <w:rPr>
                <w:szCs w:val="24"/>
              </w:rPr>
              <w:t xml:space="preserve"> was also discussed</w:t>
            </w:r>
            <w:r w:rsidRPr="00792B37">
              <w:rPr>
                <w:szCs w:val="24"/>
              </w:rPr>
              <w:t>.</w:t>
            </w:r>
          </w:p>
        </w:tc>
      </w:tr>
      <w:tr w:rsidR="005E568A" w:rsidRPr="00ED1007" w14:paraId="223C3B4F" w14:textId="77777777" w:rsidTr="00623D0A">
        <w:tc>
          <w:tcPr>
            <w:tcW w:w="2536" w:type="dxa"/>
          </w:tcPr>
          <w:p w14:paraId="5572F6FC" w14:textId="4DB7CB75" w:rsidR="005E568A" w:rsidRPr="00ED1007" w:rsidRDefault="005E568A" w:rsidP="00963EE5">
            <w:pPr>
              <w:rPr>
                <w:bCs/>
                <w:szCs w:val="24"/>
              </w:rPr>
            </w:pPr>
            <w:r>
              <w:rPr>
                <w:bCs/>
                <w:szCs w:val="24"/>
              </w:rPr>
              <w:t xml:space="preserve">Investment Strategy </w:t>
            </w:r>
            <w:r w:rsidR="00792B37">
              <w:rPr>
                <w:bCs/>
                <w:szCs w:val="24"/>
              </w:rPr>
              <w:t>Implementation</w:t>
            </w:r>
          </w:p>
        </w:tc>
        <w:tc>
          <w:tcPr>
            <w:tcW w:w="5244" w:type="dxa"/>
          </w:tcPr>
          <w:p w14:paraId="62FE6EE4" w14:textId="393A3C10" w:rsidR="00792B37" w:rsidRDefault="00792B37" w:rsidP="00792B37">
            <w:pPr>
              <w:rPr>
                <w:szCs w:val="24"/>
              </w:rPr>
            </w:pPr>
            <w:r w:rsidRPr="00792B37">
              <w:rPr>
                <w:szCs w:val="24"/>
              </w:rPr>
              <w:t xml:space="preserve">This </w:t>
            </w:r>
            <w:r>
              <w:rPr>
                <w:szCs w:val="24"/>
              </w:rPr>
              <w:t>item</w:t>
            </w:r>
            <w:r w:rsidRPr="00792B37">
              <w:rPr>
                <w:szCs w:val="24"/>
              </w:rPr>
              <w:t xml:space="preserve"> introduce</w:t>
            </w:r>
            <w:r>
              <w:rPr>
                <w:szCs w:val="24"/>
              </w:rPr>
              <w:t>d</w:t>
            </w:r>
            <w:r w:rsidRPr="00792B37">
              <w:rPr>
                <w:szCs w:val="24"/>
              </w:rPr>
              <w:t xml:space="preserve"> </w:t>
            </w:r>
            <w:proofErr w:type="gramStart"/>
            <w:r w:rsidRPr="00792B37">
              <w:rPr>
                <w:szCs w:val="24"/>
              </w:rPr>
              <w:t>a number of</w:t>
            </w:r>
            <w:proofErr w:type="gramEnd"/>
            <w:r w:rsidRPr="00792B37">
              <w:rPr>
                <w:szCs w:val="24"/>
              </w:rPr>
              <w:t xml:space="preserve"> proposals for discussion, including recommendations to </w:t>
            </w:r>
            <w:r>
              <w:rPr>
                <w:szCs w:val="24"/>
              </w:rPr>
              <w:t>assist</w:t>
            </w:r>
            <w:r w:rsidRPr="00792B37">
              <w:rPr>
                <w:szCs w:val="24"/>
              </w:rPr>
              <w:t xml:space="preserve"> the Fund </w:t>
            </w:r>
            <w:r>
              <w:rPr>
                <w:szCs w:val="24"/>
              </w:rPr>
              <w:t xml:space="preserve">to </w:t>
            </w:r>
            <w:r w:rsidRPr="00792B37">
              <w:rPr>
                <w:szCs w:val="24"/>
              </w:rPr>
              <w:t xml:space="preserve">achieve its new Strategic Asset Allocation and also in meeting its cashflow needs. </w:t>
            </w:r>
          </w:p>
          <w:p w14:paraId="00323C34" w14:textId="05060B65" w:rsidR="005E568A" w:rsidRDefault="005E568A" w:rsidP="00792B37">
            <w:pPr>
              <w:rPr>
                <w:szCs w:val="24"/>
              </w:rPr>
            </w:pPr>
          </w:p>
        </w:tc>
      </w:tr>
    </w:tbl>
    <w:p w14:paraId="76EB410A" w14:textId="77777777" w:rsidR="005E568A" w:rsidRDefault="005E568A" w:rsidP="005E568A">
      <w:pPr>
        <w:ind w:left="720"/>
        <w:jc w:val="both"/>
        <w:rPr>
          <w:szCs w:val="24"/>
        </w:rPr>
      </w:pPr>
    </w:p>
    <w:p w14:paraId="3A2B0DDA" w14:textId="11CCA2C3" w:rsidR="005E568A" w:rsidRDefault="005E568A" w:rsidP="005E568A">
      <w:pPr>
        <w:numPr>
          <w:ilvl w:val="0"/>
          <w:numId w:val="30"/>
        </w:numPr>
        <w:ind w:hanging="1287"/>
        <w:jc w:val="both"/>
        <w:rPr>
          <w:szCs w:val="24"/>
        </w:rPr>
      </w:pPr>
      <w:r w:rsidRPr="007B1B1A">
        <w:rPr>
          <w:szCs w:val="24"/>
        </w:rPr>
        <w:t xml:space="preserve">The Pension Fund’s investments were valued at </w:t>
      </w:r>
      <w:r w:rsidRPr="00871FD1">
        <w:rPr>
          <w:szCs w:val="24"/>
        </w:rPr>
        <w:t>£96</w:t>
      </w:r>
      <w:r w:rsidR="00871FD1" w:rsidRPr="00871FD1">
        <w:rPr>
          <w:szCs w:val="24"/>
        </w:rPr>
        <w:t>8.7</w:t>
      </w:r>
      <w:r w:rsidRPr="00871FD1">
        <w:rPr>
          <w:szCs w:val="24"/>
        </w:rPr>
        <w:t>m</w:t>
      </w:r>
      <w:r w:rsidRPr="007B1B1A">
        <w:rPr>
          <w:szCs w:val="24"/>
        </w:rPr>
        <w:t xml:space="preserve"> </w:t>
      </w:r>
      <w:proofErr w:type="gramStart"/>
      <w:r w:rsidRPr="007B1B1A">
        <w:rPr>
          <w:szCs w:val="24"/>
        </w:rPr>
        <w:t>at</w:t>
      </w:r>
      <w:proofErr w:type="gramEnd"/>
      <w:r w:rsidRPr="007B1B1A">
        <w:rPr>
          <w:szCs w:val="24"/>
        </w:rPr>
        <w:t xml:space="preserve"> 3</w:t>
      </w:r>
      <w:r w:rsidR="004D6661">
        <w:rPr>
          <w:szCs w:val="24"/>
        </w:rPr>
        <w:t>0 June</w:t>
      </w:r>
      <w:r>
        <w:rPr>
          <w:szCs w:val="24"/>
        </w:rPr>
        <w:t xml:space="preserve"> 2023</w:t>
      </w:r>
      <w:r w:rsidRPr="007B1B1A">
        <w:rPr>
          <w:szCs w:val="24"/>
        </w:rPr>
        <w:t>. The details of the valuation</w:t>
      </w:r>
      <w:r>
        <w:rPr>
          <w:szCs w:val="24"/>
        </w:rPr>
        <w:t xml:space="preserve"> are </w:t>
      </w:r>
      <w:r w:rsidRPr="007B1B1A">
        <w:rPr>
          <w:szCs w:val="24"/>
        </w:rPr>
        <w:t xml:space="preserve">shown at appendix </w:t>
      </w:r>
      <w:r w:rsidR="00792B37">
        <w:rPr>
          <w:szCs w:val="24"/>
        </w:rPr>
        <w:t>2</w:t>
      </w:r>
      <w:r w:rsidRPr="007B1B1A">
        <w:rPr>
          <w:szCs w:val="24"/>
        </w:rPr>
        <w:t xml:space="preserve">. </w:t>
      </w:r>
    </w:p>
    <w:p w14:paraId="20BF295B" w14:textId="77777777" w:rsidR="005E568A" w:rsidRDefault="005E568A" w:rsidP="005E568A">
      <w:pPr>
        <w:ind w:left="720"/>
        <w:jc w:val="both"/>
        <w:rPr>
          <w:szCs w:val="24"/>
        </w:rPr>
      </w:pPr>
    </w:p>
    <w:p w14:paraId="60A254A2" w14:textId="4816A543" w:rsidR="005E568A" w:rsidRPr="007B1B1A" w:rsidRDefault="00871FD1" w:rsidP="005E568A">
      <w:pPr>
        <w:numPr>
          <w:ilvl w:val="0"/>
          <w:numId w:val="30"/>
        </w:numPr>
        <w:ind w:hanging="1287"/>
        <w:jc w:val="both"/>
        <w:rPr>
          <w:szCs w:val="24"/>
        </w:rPr>
      </w:pPr>
      <w:r>
        <w:rPr>
          <w:szCs w:val="24"/>
        </w:rPr>
        <w:t>The</w:t>
      </w:r>
      <w:r w:rsidR="005E568A">
        <w:rPr>
          <w:szCs w:val="24"/>
        </w:rPr>
        <w:t xml:space="preserve"> value of most of the Fund’s investments was broadly stable or increased slightly during the quarter. There were also further drawdowns of the Fund’s commitments to the LCIV Infrastructure Fund and the LCIV renewables Infrastructure Fund.</w:t>
      </w:r>
    </w:p>
    <w:p w14:paraId="4E95BD1E" w14:textId="77777777" w:rsidR="005E568A" w:rsidRDefault="005E568A" w:rsidP="005E568A">
      <w:pPr>
        <w:ind w:left="720"/>
        <w:jc w:val="both"/>
        <w:rPr>
          <w:szCs w:val="24"/>
        </w:rPr>
      </w:pPr>
    </w:p>
    <w:p w14:paraId="618501D0" w14:textId="6FAFA6D9" w:rsidR="005E568A" w:rsidRPr="007B1B1A" w:rsidRDefault="005E568A" w:rsidP="005E568A">
      <w:pPr>
        <w:numPr>
          <w:ilvl w:val="0"/>
          <w:numId w:val="30"/>
        </w:numPr>
        <w:ind w:hanging="1287"/>
        <w:jc w:val="both"/>
        <w:rPr>
          <w:szCs w:val="24"/>
        </w:rPr>
      </w:pPr>
      <w:r w:rsidRPr="007B1B1A">
        <w:rPr>
          <w:szCs w:val="24"/>
        </w:rPr>
        <w:t xml:space="preserve">The Fund’s past service liabilities </w:t>
      </w:r>
      <w:proofErr w:type="gramStart"/>
      <w:r w:rsidRPr="007B1B1A">
        <w:rPr>
          <w:szCs w:val="24"/>
        </w:rPr>
        <w:t>at</w:t>
      </w:r>
      <w:proofErr w:type="gramEnd"/>
      <w:r w:rsidRPr="007B1B1A">
        <w:rPr>
          <w:szCs w:val="24"/>
        </w:rPr>
        <w:t xml:space="preserve"> 3</w:t>
      </w:r>
      <w:r w:rsidR="00280C5C">
        <w:rPr>
          <w:szCs w:val="24"/>
        </w:rPr>
        <w:t>0</w:t>
      </w:r>
      <w:r w:rsidRPr="007B1B1A">
        <w:rPr>
          <w:szCs w:val="24"/>
        </w:rPr>
        <w:t xml:space="preserve"> </w:t>
      </w:r>
      <w:r w:rsidR="00280C5C">
        <w:rPr>
          <w:szCs w:val="24"/>
        </w:rPr>
        <w:t>June</w:t>
      </w:r>
      <w:r>
        <w:rPr>
          <w:szCs w:val="24"/>
        </w:rPr>
        <w:t xml:space="preserve"> 2023</w:t>
      </w:r>
      <w:r w:rsidRPr="007B1B1A">
        <w:rPr>
          <w:szCs w:val="24"/>
        </w:rPr>
        <w:t xml:space="preserve"> totalled </w:t>
      </w:r>
      <w:r w:rsidRPr="00971250">
        <w:rPr>
          <w:szCs w:val="24"/>
        </w:rPr>
        <w:t>£</w:t>
      </w:r>
      <w:r w:rsidR="00280C5C">
        <w:rPr>
          <w:szCs w:val="24"/>
        </w:rPr>
        <w:t>796</w:t>
      </w:r>
      <w:r w:rsidRPr="00971250">
        <w:rPr>
          <w:szCs w:val="24"/>
        </w:rPr>
        <w:t>m</w:t>
      </w:r>
      <w:r w:rsidRPr="007B1B1A">
        <w:rPr>
          <w:szCs w:val="24"/>
        </w:rPr>
        <w:t xml:space="preserve"> meaning the Fund was </w:t>
      </w:r>
      <w:r w:rsidRPr="00971250">
        <w:rPr>
          <w:szCs w:val="24"/>
        </w:rPr>
        <w:t>approximately 1</w:t>
      </w:r>
      <w:r w:rsidR="00280C5C">
        <w:rPr>
          <w:szCs w:val="24"/>
        </w:rPr>
        <w:t>2</w:t>
      </w:r>
      <w:r w:rsidRPr="00971250">
        <w:rPr>
          <w:szCs w:val="24"/>
        </w:rPr>
        <w:t>2% fun</w:t>
      </w:r>
      <w:r w:rsidRPr="007B1B1A">
        <w:rPr>
          <w:szCs w:val="24"/>
        </w:rPr>
        <w:t xml:space="preserve">ded. This estimate of liabilities is simply a rolled forward projection based on the 2022 triennial valuation.  The estimated funding level has improved since the 2022 valuation. This is driven by the fact that the expected return (discount rate) </w:t>
      </w:r>
      <w:r>
        <w:t>has increased materially since the valuation largely driven by increasing interest rate expectations. This has reduced the liabilities substantially. The assets have held up well over what was a period of turbulence in financial markets and have not dropped to the same extent as the liabilities</w:t>
      </w:r>
      <w:r w:rsidRPr="007B1B1A">
        <w:rPr>
          <w:szCs w:val="24"/>
        </w:rPr>
        <w:t xml:space="preserve"> – hence the increased funding level. This update is at a single point in time </w:t>
      </w:r>
      <w:r>
        <w:rPr>
          <w:szCs w:val="24"/>
        </w:rPr>
        <w:t>and follows</w:t>
      </w:r>
      <w:r w:rsidRPr="007B1B1A">
        <w:rPr>
          <w:szCs w:val="24"/>
        </w:rPr>
        <w:t xml:space="preserve"> a period of volatility in markets. Further market movements will lead to further fluctuations in funding level.  </w:t>
      </w:r>
    </w:p>
    <w:p w14:paraId="46A36134" w14:textId="77777777" w:rsidR="005E568A" w:rsidRDefault="005E568A" w:rsidP="005E568A">
      <w:pPr>
        <w:pStyle w:val="ListParagraph"/>
        <w:rPr>
          <w:szCs w:val="24"/>
        </w:rPr>
      </w:pPr>
    </w:p>
    <w:p w14:paraId="04D4DD2A" w14:textId="759EA87F" w:rsidR="005E568A" w:rsidRDefault="005E568A" w:rsidP="005E568A">
      <w:pPr>
        <w:numPr>
          <w:ilvl w:val="0"/>
          <w:numId w:val="30"/>
        </w:numPr>
        <w:ind w:hanging="1287"/>
        <w:jc w:val="both"/>
        <w:rPr>
          <w:szCs w:val="24"/>
        </w:rPr>
      </w:pPr>
      <w:r w:rsidRPr="007B1B1A">
        <w:rPr>
          <w:szCs w:val="24"/>
        </w:rPr>
        <w:t xml:space="preserve">It should be noted also that the </w:t>
      </w:r>
      <w:r>
        <w:rPr>
          <w:szCs w:val="24"/>
        </w:rPr>
        <w:t>1</w:t>
      </w:r>
      <w:r w:rsidR="00280C5C">
        <w:rPr>
          <w:szCs w:val="24"/>
        </w:rPr>
        <w:t>2</w:t>
      </w:r>
      <w:r>
        <w:rPr>
          <w:szCs w:val="24"/>
        </w:rPr>
        <w:t>2</w:t>
      </w:r>
      <w:r w:rsidRPr="00971250">
        <w:rPr>
          <w:szCs w:val="24"/>
        </w:rPr>
        <w:t>%</w:t>
      </w:r>
      <w:r w:rsidRPr="007B1B1A">
        <w:rPr>
          <w:szCs w:val="24"/>
        </w:rPr>
        <w:t xml:space="preserve"> funding level relates only to “past service” benefits (</w:t>
      </w:r>
      <w:proofErr w:type="gramStart"/>
      <w:r w:rsidRPr="007B1B1A">
        <w:rPr>
          <w:szCs w:val="24"/>
        </w:rPr>
        <w:t>i.e.</w:t>
      </w:r>
      <w:proofErr w:type="gramEnd"/>
      <w:r w:rsidRPr="007B1B1A">
        <w:rPr>
          <w:szCs w:val="24"/>
        </w:rPr>
        <w:t xml:space="preserve"> service accrued to date). As a scheme which is “open” (</w:t>
      </w:r>
      <w:proofErr w:type="gramStart"/>
      <w:r w:rsidRPr="007B1B1A">
        <w:rPr>
          <w:szCs w:val="24"/>
        </w:rPr>
        <w:t>i.e.</w:t>
      </w:r>
      <w:proofErr w:type="gramEnd"/>
      <w:r w:rsidRPr="007B1B1A">
        <w:rPr>
          <w:szCs w:val="24"/>
        </w:rPr>
        <w:t xml:space="preserve"> both to future accrual of benefits for existing members and to new joiners), the Fund will also have to meet significant liabilities in </w:t>
      </w:r>
      <w:r w:rsidRPr="007B1B1A">
        <w:rPr>
          <w:szCs w:val="24"/>
        </w:rPr>
        <w:lastRenderedPageBreak/>
        <w:t xml:space="preserve">respect of future service, which will in turn depend on pay levels and other factors. </w:t>
      </w:r>
    </w:p>
    <w:p w14:paraId="75353C7E" w14:textId="77777777" w:rsidR="005E568A" w:rsidRDefault="005E568A" w:rsidP="005E568A">
      <w:pPr>
        <w:pStyle w:val="ListParagraph"/>
        <w:rPr>
          <w:szCs w:val="24"/>
        </w:rPr>
      </w:pPr>
    </w:p>
    <w:p w14:paraId="165E9C5F" w14:textId="5BBF83D9" w:rsidR="005E568A" w:rsidRDefault="005E568A" w:rsidP="005E568A">
      <w:pPr>
        <w:numPr>
          <w:ilvl w:val="0"/>
          <w:numId w:val="30"/>
        </w:numPr>
        <w:ind w:hanging="1287"/>
        <w:jc w:val="both"/>
        <w:rPr>
          <w:szCs w:val="24"/>
        </w:rPr>
      </w:pPr>
      <w:proofErr w:type="gramStart"/>
      <w:r w:rsidRPr="007B1B1A">
        <w:rPr>
          <w:szCs w:val="24"/>
        </w:rPr>
        <w:t>At</w:t>
      </w:r>
      <w:proofErr w:type="gramEnd"/>
      <w:r w:rsidRPr="007B1B1A">
        <w:rPr>
          <w:szCs w:val="24"/>
        </w:rPr>
        <w:t xml:space="preserve"> 3</w:t>
      </w:r>
      <w:r w:rsidR="00280C5C">
        <w:rPr>
          <w:szCs w:val="24"/>
        </w:rPr>
        <w:t>0</w:t>
      </w:r>
      <w:r>
        <w:rPr>
          <w:szCs w:val="24"/>
        </w:rPr>
        <w:t xml:space="preserve"> </w:t>
      </w:r>
      <w:r w:rsidR="00280C5C">
        <w:rPr>
          <w:szCs w:val="24"/>
        </w:rPr>
        <w:t>June</w:t>
      </w:r>
      <w:r>
        <w:rPr>
          <w:szCs w:val="24"/>
        </w:rPr>
        <w:t xml:space="preserve"> 2023</w:t>
      </w:r>
      <w:r w:rsidRPr="007B1B1A">
        <w:rPr>
          <w:szCs w:val="24"/>
        </w:rPr>
        <w:t>, the value of the Fund’s investments was £</w:t>
      </w:r>
      <w:r>
        <w:rPr>
          <w:szCs w:val="24"/>
        </w:rPr>
        <w:t>96</w:t>
      </w:r>
      <w:r w:rsidR="00280C5C">
        <w:rPr>
          <w:szCs w:val="24"/>
        </w:rPr>
        <w:t>9</w:t>
      </w:r>
      <w:r>
        <w:rPr>
          <w:szCs w:val="24"/>
        </w:rPr>
        <w:t>m</w:t>
      </w:r>
      <w:r w:rsidRPr="007B1B1A">
        <w:rPr>
          <w:szCs w:val="24"/>
        </w:rPr>
        <w:t xml:space="preserve">. At that date, </w:t>
      </w:r>
      <w:r>
        <w:rPr>
          <w:szCs w:val="24"/>
        </w:rPr>
        <w:t>78</w:t>
      </w:r>
      <w:r w:rsidR="00280C5C">
        <w:rPr>
          <w:szCs w:val="24"/>
        </w:rPr>
        <w:t>.7</w:t>
      </w:r>
      <w:r w:rsidRPr="007B1B1A">
        <w:rPr>
          <w:szCs w:val="24"/>
        </w:rPr>
        <w:t xml:space="preserve">% of the Fund’s investments were pooled or in passive investments which are regarded as being pooled. </w:t>
      </w:r>
    </w:p>
    <w:p w14:paraId="417F83DB" w14:textId="77777777" w:rsidR="005E568A" w:rsidRDefault="005E568A" w:rsidP="005E568A">
      <w:pPr>
        <w:jc w:val="both"/>
        <w:rPr>
          <w:b/>
          <w:bCs/>
          <w:szCs w:val="24"/>
        </w:rPr>
      </w:pPr>
    </w:p>
    <w:p w14:paraId="53F251D5" w14:textId="77777777" w:rsidR="005E568A" w:rsidRPr="000D22D8" w:rsidRDefault="005E568A" w:rsidP="005E568A">
      <w:pPr>
        <w:jc w:val="both"/>
        <w:rPr>
          <w:b/>
          <w:bCs/>
          <w:szCs w:val="24"/>
        </w:rPr>
      </w:pPr>
      <w:r>
        <w:rPr>
          <w:b/>
          <w:bCs/>
          <w:szCs w:val="24"/>
        </w:rPr>
        <w:t xml:space="preserve">Audit of Pension Fund Annual Report and Accounts 2021-22 and Pension Fund Annual Report and Accounts for 2022-23 </w:t>
      </w:r>
    </w:p>
    <w:p w14:paraId="123A3A17" w14:textId="77777777" w:rsidR="005E568A" w:rsidRDefault="005E568A" w:rsidP="005E568A">
      <w:pPr>
        <w:pStyle w:val="ListParagraph"/>
        <w:rPr>
          <w:szCs w:val="24"/>
        </w:rPr>
      </w:pPr>
    </w:p>
    <w:p w14:paraId="5ED3326F" w14:textId="6CFF4F0E" w:rsidR="005E568A" w:rsidRDefault="005E568A" w:rsidP="005E568A">
      <w:pPr>
        <w:numPr>
          <w:ilvl w:val="0"/>
          <w:numId w:val="30"/>
        </w:numPr>
        <w:ind w:hanging="1287"/>
        <w:jc w:val="both"/>
        <w:rPr>
          <w:szCs w:val="24"/>
        </w:rPr>
      </w:pPr>
      <w:r>
        <w:rPr>
          <w:szCs w:val="24"/>
        </w:rPr>
        <w:t xml:space="preserve">The audit of the Pension Fund Annual Report and Accounts is being carried out by Mazars. As previously reported, this audit is largely complete – there have been no material changes to the draft accounts presented to the Board in October 2022, and only a small number of presentational and disclosure changes to some of the Notes to the accounts. However, the audit cannot be completed until the audit of the Council’s own accounts is finalised – the reason for this is that until that happens the auditor is required to confirm that the Pension Fund Annual Report and Accounts align with the Council’s main accounts, and there are some technical issues being worked through in respect of the latter. More recently, auditors have taken the view that because the 2022 triennial valuation results are available, the IAS 19 and IAS 26 calculations of pension liabilities </w:t>
      </w:r>
      <w:proofErr w:type="gramStart"/>
      <w:r>
        <w:rPr>
          <w:szCs w:val="24"/>
        </w:rPr>
        <w:t>have to</w:t>
      </w:r>
      <w:proofErr w:type="gramEnd"/>
      <w:r>
        <w:rPr>
          <w:szCs w:val="24"/>
        </w:rPr>
        <w:t xml:space="preserve"> be updated to use that data (rather than a “roll forward” from the 2019 valuation.  This has further delayed the audit. Other LGPS funds and administering authorities are experiencing similar issues. The auditors will be reporting to the next meeting of the Governance, Audit, Risk Management and Standards Committee in </w:t>
      </w:r>
      <w:r w:rsidR="00280C5C">
        <w:rPr>
          <w:szCs w:val="24"/>
        </w:rPr>
        <w:t>November</w:t>
      </w:r>
      <w:r>
        <w:rPr>
          <w:szCs w:val="24"/>
        </w:rPr>
        <w:t xml:space="preserve"> 2023.</w:t>
      </w:r>
    </w:p>
    <w:p w14:paraId="5F6BD5FD" w14:textId="77777777" w:rsidR="006B5B52" w:rsidRDefault="006B5B52" w:rsidP="003D18A3">
      <w:pPr>
        <w:pStyle w:val="Heading2"/>
        <w:ind w:firstLine="709"/>
      </w:pPr>
      <w:r>
        <w:t>Legal Implications</w:t>
      </w:r>
    </w:p>
    <w:p w14:paraId="56739B89" w14:textId="77777777" w:rsidR="006B5B52" w:rsidRDefault="006B5B52" w:rsidP="006B5B52">
      <w:pPr>
        <w:pStyle w:val="ListParagraph"/>
      </w:pPr>
    </w:p>
    <w:p w14:paraId="1AE22C2D" w14:textId="38E81D20" w:rsidR="006B5B52" w:rsidRPr="00280C5C" w:rsidRDefault="006B5B52" w:rsidP="005E568A">
      <w:pPr>
        <w:numPr>
          <w:ilvl w:val="0"/>
          <w:numId w:val="30"/>
        </w:numPr>
        <w:ind w:hanging="1287"/>
        <w:jc w:val="both"/>
        <w:rPr>
          <w:szCs w:val="24"/>
        </w:rPr>
      </w:pPr>
      <w:r w:rsidRPr="00280C5C">
        <w:rPr>
          <w:szCs w:val="24"/>
        </w:rPr>
        <w:t>There are no direct legal implications arising from this report.</w:t>
      </w:r>
    </w:p>
    <w:p w14:paraId="3BB2283F" w14:textId="77777777" w:rsidR="00C27D15" w:rsidRPr="00280C5C" w:rsidRDefault="00C27D15" w:rsidP="00C27D15">
      <w:pPr>
        <w:ind w:left="720"/>
        <w:jc w:val="both"/>
        <w:rPr>
          <w:szCs w:val="24"/>
        </w:rPr>
      </w:pPr>
    </w:p>
    <w:p w14:paraId="3B12662D" w14:textId="269809B9" w:rsidR="009645CF" w:rsidRPr="00280C5C" w:rsidRDefault="009645CF" w:rsidP="005E568A">
      <w:pPr>
        <w:numPr>
          <w:ilvl w:val="0"/>
          <w:numId w:val="30"/>
        </w:numPr>
        <w:ind w:hanging="1287"/>
        <w:jc w:val="both"/>
        <w:rPr>
          <w:szCs w:val="24"/>
        </w:rPr>
      </w:pPr>
      <w:r w:rsidRPr="00280C5C">
        <w:rPr>
          <w:szCs w:val="24"/>
        </w:rPr>
        <w:t xml:space="preserve">The terms of reference for the Board </w:t>
      </w:r>
      <w:r w:rsidR="00B17A17" w:rsidRPr="00280C5C">
        <w:rPr>
          <w:szCs w:val="24"/>
        </w:rPr>
        <w:t xml:space="preserve">include the Board’s role as set out in the following paragraphs. </w:t>
      </w:r>
    </w:p>
    <w:p w14:paraId="5D2EE4E8" w14:textId="77777777" w:rsidR="00B17A17" w:rsidRPr="00280C5C" w:rsidRDefault="00B17A17" w:rsidP="00B17A17">
      <w:pPr>
        <w:pStyle w:val="ListParagraph"/>
        <w:rPr>
          <w:sz w:val="24"/>
          <w:szCs w:val="24"/>
        </w:rPr>
      </w:pPr>
    </w:p>
    <w:p w14:paraId="1F5E2DAD" w14:textId="7F0ED0C0" w:rsidR="00B17A17" w:rsidRPr="00280C5C" w:rsidRDefault="00B17A17" w:rsidP="005E568A">
      <w:pPr>
        <w:numPr>
          <w:ilvl w:val="0"/>
          <w:numId w:val="30"/>
        </w:numPr>
        <w:ind w:hanging="1287"/>
        <w:jc w:val="both"/>
        <w:rPr>
          <w:szCs w:val="24"/>
        </w:rPr>
      </w:pPr>
      <w:r w:rsidRPr="00280C5C">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0EB364A1" w14:textId="77777777" w:rsidR="00280C5C" w:rsidRPr="00280C5C" w:rsidRDefault="00280C5C" w:rsidP="00280C5C">
      <w:pPr>
        <w:pStyle w:val="ListParagraph"/>
        <w:rPr>
          <w:sz w:val="24"/>
          <w:szCs w:val="24"/>
        </w:rPr>
      </w:pPr>
    </w:p>
    <w:p w14:paraId="1CE56467" w14:textId="36694373" w:rsidR="00B17A17" w:rsidRPr="00280C5C" w:rsidRDefault="00B17A17" w:rsidP="00280C5C">
      <w:pPr>
        <w:pStyle w:val="ListParagraph"/>
        <w:numPr>
          <w:ilvl w:val="0"/>
          <w:numId w:val="31"/>
        </w:numPr>
        <w:shd w:val="clear" w:color="auto" w:fill="FFFFFF"/>
        <w:jc w:val="both"/>
        <w:rPr>
          <w:color w:val="262626"/>
          <w:sz w:val="24"/>
          <w:szCs w:val="24"/>
        </w:rPr>
      </w:pPr>
      <w:r w:rsidRPr="00280C5C">
        <w:rPr>
          <w:color w:val="262626"/>
          <w:sz w:val="24"/>
          <w:szCs w:val="24"/>
        </w:rPr>
        <w:t xml:space="preserve">securing compliance with the LGPS regulations and other legislation relating to the governance and administration of the </w:t>
      </w:r>
      <w:proofErr w:type="gramStart"/>
      <w:r w:rsidRPr="00280C5C">
        <w:rPr>
          <w:color w:val="262626"/>
          <w:sz w:val="24"/>
          <w:szCs w:val="24"/>
        </w:rPr>
        <w:t>LGPS;</w:t>
      </w:r>
      <w:proofErr w:type="gramEnd"/>
    </w:p>
    <w:p w14:paraId="27497CD1" w14:textId="33F413F1" w:rsidR="00B17A17" w:rsidRPr="00280C5C" w:rsidRDefault="00B17A17" w:rsidP="00280C5C">
      <w:pPr>
        <w:pStyle w:val="ListParagraph"/>
        <w:numPr>
          <w:ilvl w:val="0"/>
          <w:numId w:val="31"/>
        </w:numPr>
        <w:shd w:val="clear" w:color="auto" w:fill="FFFFFF"/>
        <w:jc w:val="both"/>
        <w:rPr>
          <w:color w:val="262626"/>
          <w:sz w:val="24"/>
          <w:szCs w:val="24"/>
        </w:rPr>
      </w:pPr>
      <w:r w:rsidRPr="00280C5C">
        <w:rPr>
          <w:color w:val="262626"/>
          <w:sz w:val="24"/>
          <w:szCs w:val="24"/>
        </w:rPr>
        <w:t>securing compliance with requirements imposed in relation to the LGPS by the Pensions Regulator; and</w:t>
      </w:r>
    </w:p>
    <w:p w14:paraId="494616A5" w14:textId="1C75950C" w:rsidR="00B17A17" w:rsidRPr="00280C5C" w:rsidRDefault="00B17A17" w:rsidP="00280C5C">
      <w:pPr>
        <w:pStyle w:val="ListParagraph"/>
        <w:numPr>
          <w:ilvl w:val="0"/>
          <w:numId w:val="31"/>
        </w:numPr>
        <w:shd w:val="clear" w:color="auto" w:fill="FFFFFF"/>
        <w:spacing w:after="160"/>
        <w:jc w:val="both"/>
        <w:rPr>
          <w:color w:val="262626"/>
          <w:sz w:val="24"/>
          <w:szCs w:val="24"/>
        </w:rPr>
      </w:pPr>
      <w:r w:rsidRPr="00280C5C">
        <w:rPr>
          <w:color w:val="262626"/>
          <w:sz w:val="24"/>
          <w:szCs w:val="24"/>
        </w:rPr>
        <w:t>such other matters the LGPS regulations may specify.</w:t>
      </w:r>
    </w:p>
    <w:p w14:paraId="11CF73B1" w14:textId="5C6E29E0" w:rsidR="00B17A17" w:rsidRPr="00280C5C" w:rsidRDefault="00B17A17" w:rsidP="005E568A">
      <w:pPr>
        <w:numPr>
          <w:ilvl w:val="0"/>
          <w:numId w:val="30"/>
        </w:numPr>
        <w:shd w:val="clear" w:color="auto" w:fill="FFFFFF"/>
        <w:ind w:hanging="1287"/>
        <w:jc w:val="both"/>
        <w:rPr>
          <w:rFonts w:cs="Arial"/>
          <w:color w:val="262626"/>
          <w:szCs w:val="24"/>
          <w:lang w:eastAsia="en-GB"/>
        </w:rPr>
      </w:pPr>
      <w:r w:rsidRPr="00280C5C">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094970E3" w14:textId="77777777" w:rsidR="00B17A17" w:rsidRPr="00280C5C" w:rsidRDefault="00B17A17" w:rsidP="00B17A17">
      <w:pPr>
        <w:shd w:val="clear" w:color="auto" w:fill="FFFFFF"/>
        <w:ind w:left="720"/>
        <w:jc w:val="both"/>
        <w:rPr>
          <w:rFonts w:cs="Arial"/>
          <w:color w:val="262626"/>
          <w:szCs w:val="24"/>
          <w:lang w:eastAsia="en-GB"/>
        </w:rPr>
      </w:pPr>
    </w:p>
    <w:p w14:paraId="7BD57680" w14:textId="75B55D55" w:rsidR="00B17A17" w:rsidRPr="00280C5C" w:rsidRDefault="00B17A17" w:rsidP="005E568A">
      <w:pPr>
        <w:numPr>
          <w:ilvl w:val="0"/>
          <w:numId w:val="30"/>
        </w:numPr>
        <w:shd w:val="clear" w:color="auto" w:fill="FFFFFF"/>
        <w:ind w:hanging="1287"/>
        <w:jc w:val="both"/>
        <w:rPr>
          <w:rFonts w:cs="Arial"/>
          <w:color w:val="262626"/>
          <w:szCs w:val="24"/>
          <w:lang w:eastAsia="en-GB"/>
        </w:rPr>
      </w:pPr>
      <w:r w:rsidRPr="00280C5C">
        <w:rPr>
          <w:rFonts w:cs="Arial"/>
          <w:color w:val="262626"/>
          <w:szCs w:val="24"/>
          <w:lang w:eastAsia="en-GB"/>
        </w:rPr>
        <w:lastRenderedPageBreak/>
        <w:t>In its role, The Board will have oversight of the administration of the fund including:</w:t>
      </w:r>
    </w:p>
    <w:p w14:paraId="472FF8C5" w14:textId="77777777" w:rsidR="00B17A17" w:rsidRPr="00280C5C" w:rsidRDefault="00B17A17" w:rsidP="00B17A17">
      <w:pPr>
        <w:shd w:val="clear" w:color="auto" w:fill="FFFFFF"/>
        <w:ind w:left="720"/>
        <w:rPr>
          <w:rFonts w:cs="Arial"/>
          <w:color w:val="262626"/>
          <w:szCs w:val="24"/>
          <w:lang w:eastAsia="en-GB"/>
        </w:rPr>
      </w:pPr>
      <w:r w:rsidRPr="00280C5C">
        <w:rPr>
          <w:rFonts w:cs="Arial"/>
          <w:color w:val="262626"/>
          <w:szCs w:val="24"/>
          <w:lang w:eastAsia="en-GB"/>
        </w:rPr>
        <w:t> </w:t>
      </w:r>
    </w:p>
    <w:p w14:paraId="1667898A" w14:textId="2AAE6FEC" w:rsidR="00B17A17" w:rsidRPr="00280C5C" w:rsidRDefault="00B17A17" w:rsidP="00280C5C">
      <w:pPr>
        <w:pStyle w:val="ListParagraph"/>
        <w:numPr>
          <w:ilvl w:val="1"/>
          <w:numId w:val="33"/>
        </w:numPr>
        <w:shd w:val="clear" w:color="auto" w:fill="FFFFFF"/>
        <w:rPr>
          <w:color w:val="262626"/>
          <w:sz w:val="24"/>
          <w:szCs w:val="24"/>
        </w:rPr>
      </w:pPr>
      <w:r w:rsidRPr="00280C5C">
        <w:rPr>
          <w:color w:val="262626"/>
          <w:sz w:val="24"/>
          <w:szCs w:val="24"/>
        </w:rPr>
        <w:t xml:space="preserve">The effectiveness of the </w:t>
      </w:r>
      <w:proofErr w:type="gramStart"/>
      <w:r w:rsidRPr="00280C5C">
        <w:rPr>
          <w:color w:val="262626"/>
          <w:sz w:val="24"/>
          <w:szCs w:val="24"/>
        </w:rPr>
        <w:t>decision making</w:t>
      </w:r>
      <w:proofErr w:type="gramEnd"/>
      <w:r w:rsidRPr="00280C5C">
        <w:rPr>
          <w:color w:val="262626"/>
          <w:sz w:val="24"/>
          <w:szCs w:val="24"/>
        </w:rPr>
        <w:t xml:space="preserve"> process</w:t>
      </w:r>
    </w:p>
    <w:p w14:paraId="1D144329" w14:textId="1398E5F9" w:rsidR="00B17A17" w:rsidRPr="00280C5C" w:rsidRDefault="00B17A17" w:rsidP="00280C5C">
      <w:pPr>
        <w:pStyle w:val="ListParagraph"/>
        <w:numPr>
          <w:ilvl w:val="1"/>
          <w:numId w:val="33"/>
        </w:numPr>
        <w:shd w:val="clear" w:color="auto" w:fill="FFFFFF"/>
        <w:rPr>
          <w:color w:val="262626"/>
          <w:sz w:val="24"/>
          <w:szCs w:val="24"/>
        </w:rPr>
      </w:pPr>
      <w:r w:rsidRPr="00280C5C">
        <w:rPr>
          <w:color w:val="262626"/>
          <w:sz w:val="24"/>
          <w:szCs w:val="24"/>
        </w:rPr>
        <w:t>The direction of the Fund and its overall objectives</w:t>
      </w:r>
    </w:p>
    <w:p w14:paraId="2D612F12" w14:textId="7B8745AC" w:rsidR="00B17A17" w:rsidRPr="00280C5C" w:rsidRDefault="00B17A17" w:rsidP="00280C5C">
      <w:pPr>
        <w:pStyle w:val="ListParagraph"/>
        <w:numPr>
          <w:ilvl w:val="1"/>
          <w:numId w:val="33"/>
        </w:numPr>
        <w:shd w:val="clear" w:color="auto" w:fill="FFFFFF"/>
        <w:rPr>
          <w:color w:val="262626"/>
          <w:sz w:val="24"/>
          <w:szCs w:val="24"/>
        </w:rPr>
      </w:pPr>
      <w:r w:rsidRPr="00280C5C">
        <w:rPr>
          <w:color w:val="262626"/>
          <w:sz w:val="24"/>
          <w:szCs w:val="24"/>
        </w:rPr>
        <w:t>The level of transparency in the conduct of the Fund’s activities</w:t>
      </w:r>
    </w:p>
    <w:p w14:paraId="0457A1B4" w14:textId="2115BD38" w:rsidR="00B17A17" w:rsidRPr="00280C5C" w:rsidRDefault="00B17A17" w:rsidP="00280C5C">
      <w:pPr>
        <w:pStyle w:val="ListParagraph"/>
        <w:numPr>
          <w:ilvl w:val="1"/>
          <w:numId w:val="33"/>
        </w:numPr>
        <w:shd w:val="clear" w:color="auto" w:fill="FFFFFF"/>
        <w:rPr>
          <w:color w:val="262626"/>
          <w:sz w:val="24"/>
          <w:szCs w:val="24"/>
        </w:rPr>
      </w:pPr>
      <w:r w:rsidRPr="00280C5C">
        <w:rPr>
          <w:color w:val="262626"/>
          <w:sz w:val="24"/>
          <w:szCs w:val="24"/>
        </w:rPr>
        <w:t>The administration of benefits and contributions</w:t>
      </w:r>
    </w:p>
    <w:p w14:paraId="30E339E7" w14:textId="77777777" w:rsidR="00B17A17" w:rsidRPr="00280C5C" w:rsidRDefault="00B17A17" w:rsidP="00B17A17">
      <w:pPr>
        <w:shd w:val="clear" w:color="auto" w:fill="FFFFFF"/>
        <w:ind w:left="720"/>
        <w:rPr>
          <w:rFonts w:cs="Arial"/>
          <w:color w:val="262626"/>
          <w:szCs w:val="24"/>
          <w:lang w:eastAsia="en-GB"/>
        </w:rPr>
      </w:pPr>
      <w:r w:rsidRPr="00280C5C">
        <w:rPr>
          <w:rFonts w:cs="Arial"/>
          <w:color w:val="262626"/>
          <w:szCs w:val="24"/>
          <w:lang w:eastAsia="en-GB"/>
        </w:rPr>
        <w:t> </w:t>
      </w:r>
    </w:p>
    <w:p w14:paraId="518641BA" w14:textId="090327E4" w:rsidR="00B17A17" w:rsidRPr="00280C5C" w:rsidRDefault="00B17A17" w:rsidP="005E568A">
      <w:pPr>
        <w:numPr>
          <w:ilvl w:val="0"/>
          <w:numId w:val="30"/>
        </w:numPr>
        <w:ind w:hanging="1287"/>
        <w:jc w:val="both"/>
        <w:rPr>
          <w:szCs w:val="24"/>
        </w:rPr>
      </w:pPr>
      <w:r w:rsidRPr="00280C5C">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591E15F7" w14:textId="77777777" w:rsidR="00B17A17" w:rsidRPr="00280C5C" w:rsidRDefault="00B17A17" w:rsidP="00B17A17">
      <w:pPr>
        <w:ind w:left="720"/>
        <w:jc w:val="both"/>
        <w:rPr>
          <w:szCs w:val="24"/>
        </w:rPr>
      </w:pPr>
    </w:p>
    <w:p w14:paraId="25AC75D5" w14:textId="57CBB3B7" w:rsidR="00B17A17" w:rsidRPr="00280C5C" w:rsidRDefault="00B17A17" w:rsidP="005E568A">
      <w:pPr>
        <w:numPr>
          <w:ilvl w:val="0"/>
          <w:numId w:val="30"/>
        </w:numPr>
        <w:ind w:hanging="1287"/>
        <w:jc w:val="both"/>
        <w:rPr>
          <w:szCs w:val="24"/>
        </w:rPr>
      </w:pPr>
      <w:r w:rsidRPr="00280C5C">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51BC59E4" w14:textId="77777777" w:rsidR="00B17A17" w:rsidRPr="00280C5C" w:rsidRDefault="00B17A17" w:rsidP="00B17A17">
      <w:pPr>
        <w:pStyle w:val="ListParagraph"/>
        <w:rPr>
          <w:sz w:val="24"/>
          <w:szCs w:val="24"/>
        </w:rPr>
      </w:pPr>
    </w:p>
    <w:p w14:paraId="4FCD361F" w14:textId="304B556F" w:rsidR="00B17A17" w:rsidRPr="00280C5C" w:rsidRDefault="00B17A17" w:rsidP="005E568A">
      <w:pPr>
        <w:numPr>
          <w:ilvl w:val="0"/>
          <w:numId w:val="30"/>
        </w:numPr>
        <w:ind w:hanging="1287"/>
        <w:jc w:val="both"/>
        <w:rPr>
          <w:szCs w:val="24"/>
        </w:rPr>
      </w:pPr>
      <w:r w:rsidRPr="00280C5C">
        <w:rPr>
          <w:rFonts w:cs="Arial"/>
          <w:color w:val="262626"/>
          <w:szCs w:val="24"/>
          <w:lang w:eastAsia="en-GB"/>
        </w:rPr>
        <w:t>The Board shall meet sufficiently regularly to discharge its duties and responsibilities effectively.</w:t>
      </w:r>
    </w:p>
    <w:p w14:paraId="75BF25CE" w14:textId="77777777" w:rsidR="006B5B52" w:rsidRDefault="006B5B52" w:rsidP="003D18A3">
      <w:pPr>
        <w:pStyle w:val="Heading2"/>
        <w:spacing w:after="240"/>
        <w:ind w:firstLine="709"/>
      </w:pPr>
      <w:r>
        <w:t>Financial Implications</w:t>
      </w:r>
    </w:p>
    <w:p w14:paraId="472ADCF2" w14:textId="7793E051" w:rsidR="00287FFD" w:rsidRPr="0074199D" w:rsidRDefault="006B5B52" w:rsidP="005E568A">
      <w:pPr>
        <w:numPr>
          <w:ilvl w:val="0"/>
          <w:numId w:val="30"/>
        </w:numPr>
        <w:ind w:hanging="1287"/>
        <w:jc w:val="both"/>
        <w:rPr>
          <w:szCs w:val="24"/>
          <w:lang w:val="en-US"/>
        </w:rPr>
      </w:pPr>
      <w:r w:rsidRPr="006B5B52">
        <w:rPr>
          <w:szCs w:val="24"/>
          <w:lang w:val="en-US"/>
        </w:rPr>
        <w:t>Whilst the performance and effective controls of the fund managers is of paramount importance in the performance of the Pension Fund, there are no financial implications arising from this report.</w:t>
      </w:r>
    </w:p>
    <w:p w14:paraId="0568C5C0" w14:textId="77777777" w:rsidR="006B5B52" w:rsidRPr="003D2FFE" w:rsidRDefault="006B5B52" w:rsidP="003D18A3">
      <w:pPr>
        <w:pStyle w:val="Heading2"/>
        <w:spacing w:after="240"/>
        <w:ind w:firstLine="709"/>
      </w:pPr>
      <w:r>
        <w:t>Risk Management Implications</w:t>
      </w:r>
    </w:p>
    <w:p w14:paraId="5EDC5EAF" w14:textId="0B63526A" w:rsidR="0074199D" w:rsidRPr="00872DB2" w:rsidRDefault="002F03A2" w:rsidP="00640886">
      <w:pPr>
        <w:numPr>
          <w:ilvl w:val="0"/>
          <w:numId w:val="30"/>
        </w:numPr>
        <w:autoSpaceDE w:val="0"/>
        <w:autoSpaceDN w:val="0"/>
        <w:adjustRightInd w:val="0"/>
        <w:ind w:hanging="1287"/>
        <w:jc w:val="both"/>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p>
    <w:p w14:paraId="7C5D755F" w14:textId="77777777" w:rsidR="00872DB2" w:rsidRPr="00872DB2" w:rsidRDefault="00872DB2" w:rsidP="00872DB2">
      <w:pPr>
        <w:autoSpaceDE w:val="0"/>
        <w:autoSpaceDN w:val="0"/>
        <w:adjustRightInd w:val="0"/>
        <w:ind w:left="720"/>
        <w:jc w:val="both"/>
        <w:rPr>
          <w:rFonts w:cs="Arial"/>
          <w:color w:val="000000"/>
          <w:szCs w:val="24"/>
          <w:lang w:eastAsia="en-GB"/>
        </w:rPr>
      </w:pPr>
    </w:p>
    <w:p w14:paraId="1DE0C1CF" w14:textId="77777777" w:rsidR="002F03A2" w:rsidRPr="00180D94" w:rsidRDefault="002F03A2" w:rsidP="005E568A">
      <w:pPr>
        <w:numPr>
          <w:ilvl w:val="0"/>
          <w:numId w:val="30"/>
        </w:numPr>
        <w:autoSpaceDE w:val="0"/>
        <w:autoSpaceDN w:val="0"/>
        <w:adjustRightInd w:val="0"/>
        <w:ind w:hanging="1287"/>
        <w:jc w:val="both"/>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16855B49" w14:textId="77777777" w:rsidR="00C55540" w:rsidRDefault="00C55540" w:rsidP="003D18A3">
      <w:pPr>
        <w:pStyle w:val="Heading2"/>
        <w:keepNext/>
        <w:spacing w:after="240"/>
        <w:ind w:left="709"/>
      </w:pPr>
      <w:r w:rsidRPr="004A2543">
        <w:t>Equalities implications</w:t>
      </w:r>
      <w:r>
        <w:t xml:space="preserve"> / Public Sector Equality Duty </w:t>
      </w:r>
    </w:p>
    <w:p w14:paraId="150BCE92" w14:textId="54EFFC9B" w:rsidR="00C55540" w:rsidRPr="00C55540" w:rsidRDefault="00C55540" w:rsidP="005E568A">
      <w:pPr>
        <w:pStyle w:val="ListParagraph"/>
        <w:numPr>
          <w:ilvl w:val="0"/>
          <w:numId w:val="30"/>
        </w:numPr>
        <w:ind w:hanging="1287"/>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499755EA" w14:textId="7402B400" w:rsidR="00983F85" w:rsidRPr="0074199D" w:rsidRDefault="00C55540" w:rsidP="005E568A">
      <w:pPr>
        <w:numPr>
          <w:ilvl w:val="0"/>
          <w:numId w:val="30"/>
        </w:numPr>
        <w:ind w:hanging="1287"/>
        <w:jc w:val="both"/>
        <w:rPr>
          <w:szCs w:val="24"/>
        </w:rPr>
      </w:pPr>
      <w:r w:rsidRPr="00287FFD">
        <w:rPr>
          <w:szCs w:val="24"/>
        </w:rPr>
        <w:t xml:space="preserve">There are no direct equalities implications arising from this report. </w:t>
      </w:r>
    </w:p>
    <w:p w14:paraId="3EEDC6F2" w14:textId="77777777" w:rsidR="00C55540" w:rsidRPr="00CD57D8" w:rsidRDefault="00C55540" w:rsidP="003D18A3">
      <w:pPr>
        <w:pStyle w:val="Heading2"/>
        <w:spacing w:after="240"/>
        <w:ind w:firstLine="709"/>
      </w:pPr>
      <w:r>
        <w:t xml:space="preserve">Council </w:t>
      </w:r>
      <w:r w:rsidRPr="00CD57D8">
        <w:t>Priorities</w:t>
      </w:r>
    </w:p>
    <w:p w14:paraId="1AC3DD42" w14:textId="0A52F344" w:rsidR="00F77A86" w:rsidRPr="0074199D" w:rsidRDefault="00C55540" w:rsidP="005E568A">
      <w:pPr>
        <w:pStyle w:val="ListParagraph"/>
        <w:numPr>
          <w:ilvl w:val="0"/>
          <w:numId w:val="30"/>
        </w:numPr>
        <w:ind w:hanging="1287"/>
        <w:jc w:val="both"/>
        <w:rPr>
          <w:szCs w:val="24"/>
          <w:lang w:val="en-US"/>
        </w:rPr>
      </w:pPr>
      <w:r w:rsidRPr="0074199D">
        <w:rPr>
          <w:sz w:val="24"/>
          <w:szCs w:val="24"/>
          <w:lang w:val="en-US"/>
        </w:rPr>
        <w:t xml:space="preserve">The performance of the Pension Fund directly affects the level of employer contribution which then, in turn, affects the resources available for the Council’s priorities. </w:t>
      </w:r>
    </w:p>
    <w:p w14:paraId="11BF41CC" w14:textId="56D3F414" w:rsidR="002A2389" w:rsidRDefault="002F03A2" w:rsidP="00912904">
      <w:pPr>
        <w:pStyle w:val="Heading2"/>
      </w:pPr>
      <w:r>
        <w:lastRenderedPageBreak/>
        <w:t>S</w:t>
      </w:r>
      <w:r w:rsidR="002A2389">
        <w:t>ection 3 - Statutory Officer Clearance</w:t>
      </w:r>
    </w:p>
    <w:p w14:paraId="077143F8" w14:textId="77777777" w:rsidR="002A2389" w:rsidRDefault="002A2389" w:rsidP="008D1750">
      <w:pPr>
        <w:keepNext/>
        <w:rPr>
          <w:rFonts w:cs="Arial"/>
        </w:rPr>
      </w:pPr>
    </w:p>
    <w:p w14:paraId="0475C624" w14:textId="295BFFF8" w:rsidR="00C977D3" w:rsidRPr="00A66326" w:rsidRDefault="00C977D3" w:rsidP="00C977D3">
      <w:pPr>
        <w:rPr>
          <w:sz w:val="28"/>
        </w:rPr>
      </w:pPr>
      <w:r w:rsidRPr="00A66326">
        <w:rPr>
          <w:b/>
          <w:sz w:val="28"/>
        </w:rPr>
        <w:t xml:space="preserve">Statutory Officer:  </w:t>
      </w:r>
      <w:r>
        <w:rPr>
          <w:b/>
          <w:sz w:val="28"/>
        </w:rPr>
        <w:t xml:space="preserve"> </w:t>
      </w:r>
      <w:r w:rsidR="006228B5">
        <w:rPr>
          <w:b/>
          <w:sz w:val="28"/>
        </w:rPr>
        <w:t>Sharon Daniels</w:t>
      </w:r>
    </w:p>
    <w:p w14:paraId="353F0309" w14:textId="77777777" w:rsidR="00C977D3" w:rsidRDefault="00C977D3" w:rsidP="00C977D3">
      <w:r w:rsidRPr="00A66326">
        <w:t xml:space="preserve">Signed </w:t>
      </w:r>
      <w:r>
        <w:t xml:space="preserve">by </w:t>
      </w:r>
      <w:r w:rsidRPr="00A66326">
        <w:t>the Chief Financial Officer</w:t>
      </w:r>
    </w:p>
    <w:p w14:paraId="172C1782" w14:textId="7A22EEF6" w:rsidR="00C977D3" w:rsidRPr="00A66326" w:rsidRDefault="00C977D3" w:rsidP="00C977D3">
      <w:pPr>
        <w:spacing w:after="480"/>
        <w:rPr>
          <w:sz w:val="28"/>
        </w:rPr>
      </w:pPr>
      <w:r w:rsidRPr="00A66326">
        <w:rPr>
          <w:b/>
          <w:sz w:val="28"/>
        </w:rPr>
        <w:t xml:space="preserve">Date:  </w:t>
      </w:r>
      <w:r w:rsidR="006228B5">
        <w:rPr>
          <w:b/>
          <w:sz w:val="28"/>
        </w:rPr>
        <w:t>1</w:t>
      </w:r>
      <w:r w:rsidR="00BC70BE">
        <w:rPr>
          <w:b/>
          <w:sz w:val="28"/>
        </w:rPr>
        <w:t>9</w:t>
      </w:r>
      <w:r w:rsidR="006228B5">
        <w:rPr>
          <w:b/>
          <w:sz w:val="28"/>
        </w:rPr>
        <w:t xml:space="preserve"> </w:t>
      </w:r>
      <w:r w:rsidR="00BC70BE">
        <w:rPr>
          <w:b/>
          <w:sz w:val="28"/>
        </w:rPr>
        <w:t>Octo</w:t>
      </w:r>
      <w:r w:rsidR="006228B5">
        <w:rPr>
          <w:b/>
          <w:sz w:val="28"/>
        </w:rPr>
        <w:t>ber</w:t>
      </w:r>
      <w:r w:rsidRPr="003528F2">
        <w:rPr>
          <w:b/>
          <w:sz w:val="28"/>
        </w:rPr>
        <w:t xml:space="preserve"> 2023</w:t>
      </w:r>
    </w:p>
    <w:p w14:paraId="118E92D9" w14:textId="08563059" w:rsidR="00C977D3" w:rsidRPr="00A66326" w:rsidRDefault="00C977D3" w:rsidP="00C977D3">
      <w:pPr>
        <w:rPr>
          <w:sz w:val="28"/>
        </w:rPr>
      </w:pPr>
      <w:r w:rsidRPr="00A66326">
        <w:rPr>
          <w:b/>
          <w:sz w:val="28"/>
        </w:rPr>
        <w:t xml:space="preserve">Statutory Officer:  </w:t>
      </w:r>
      <w:r w:rsidR="006228B5">
        <w:rPr>
          <w:b/>
          <w:sz w:val="28"/>
        </w:rPr>
        <w:t>Sharon Clarke</w:t>
      </w:r>
    </w:p>
    <w:p w14:paraId="25A44049" w14:textId="77777777" w:rsidR="00C977D3" w:rsidRDefault="00C977D3" w:rsidP="00C977D3">
      <w:r w:rsidRPr="00A66326">
        <w:t>Signed on behalf of the Monitoring Officer</w:t>
      </w:r>
    </w:p>
    <w:p w14:paraId="0A5DDDC4" w14:textId="2541ED94" w:rsidR="006228B5" w:rsidRPr="00A66326" w:rsidRDefault="006228B5" w:rsidP="006228B5">
      <w:pPr>
        <w:spacing w:after="480"/>
        <w:rPr>
          <w:sz w:val="28"/>
        </w:rPr>
      </w:pPr>
      <w:r w:rsidRPr="00A66326">
        <w:rPr>
          <w:b/>
          <w:sz w:val="28"/>
        </w:rPr>
        <w:t xml:space="preserve">Date:  </w:t>
      </w:r>
      <w:r>
        <w:rPr>
          <w:b/>
          <w:sz w:val="28"/>
        </w:rPr>
        <w:t>1</w:t>
      </w:r>
      <w:r w:rsidR="00BC70BE">
        <w:rPr>
          <w:b/>
          <w:sz w:val="28"/>
        </w:rPr>
        <w:t>6</w:t>
      </w:r>
      <w:r>
        <w:rPr>
          <w:b/>
          <w:sz w:val="28"/>
        </w:rPr>
        <w:t xml:space="preserve"> </w:t>
      </w:r>
      <w:r w:rsidR="00BC70BE">
        <w:rPr>
          <w:b/>
          <w:sz w:val="28"/>
        </w:rPr>
        <w:t>Octo</w:t>
      </w:r>
      <w:r>
        <w:rPr>
          <w:b/>
          <w:sz w:val="28"/>
        </w:rPr>
        <w:t>ber</w:t>
      </w:r>
      <w:r w:rsidRPr="003528F2">
        <w:rPr>
          <w:b/>
          <w:sz w:val="28"/>
        </w:rPr>
        <w:t xml:space="preserve"> 2023</w:t>
      </w:r>
    </w:p>
    <w:p w14:paraId="6840C9AB" w14:textId="294078F9" w:rsidR="00C977D3" w:rsidRPr="00A66326" w:rsidRDefault="00C977D3" w:rsidP="00C977D3">
      <w:pPr>
        <w:rPr>
          <w:sz w:val="28"/>
        </w:rPr>
      </w:pPr>
      <w:r>
        <w:rPr>
          <w:b/>
          <w:sz w:val="28"/>
        </w:rPr>
        <w:t>Chief</w:t>
      </w:r>
      <w:r w:rsidRPr="00A66326">
        <w:rPr>
          <w:b/>
          <w:sz w:val="28"/>
        </w:rPr>
        <w:t xml:space="preserve"> Officer:  </w:t>
      </w:r>
      <w:r w:rsidR="006228B5">
        <w:rPr>
          <w:b/>
          <w:sz w:val="28"/>
        </w:rPr>
        <w:t>Sharon Daniels</w:t>
      </w:r>
    </w:p>
    <w:p w14:paraId="1885833C" w14:textId="77777777" w:rsidR="00C977D3" w:rsidRDefault="00C977D3" w:rsidP="00C977D3">
      <w:r>
        <w:t>Signed on behalf of the Corporate Director</w:t>
      </w:r>
    </w:p>
    <w:p w14:paraId="4E114BCB" w14:textId="64BB847E" w:rsidR="006228B5" w:rsidRPr="00A66326" w:rsidRDefault="006228B5" w:rsidP="006228B5">
      <w:pPr>
        <w:spacing w:after="480"/>
        <w:rPr>
          <w:sz w:val="28"/>
        </w:rPr>
      </w:pPr>
      <w:r w:rsidRPr="00A66326">
        <w:rPr>
          <w:b/>
          <w:sz w:val="28"/>
        </w:rPr>
        <w:t xml:space="preserve">Date:  </w:t>
      </w:r>
      <w:r>
        <w:rPr>
          <w:b/>
          <w:sz w:val="28"/>
        </w:rPr>
        <w:t>1</w:t>
      </w:r>
      <w:r w:rsidR="00BC70BE">
        <w:rPr>
          <w:b/>
          <w:sz w:val="28"/>
        </w:rPr>
        <w:t>9</w:t>
      </w:r>
      <w:r>
        <w:rPr>
          <w:b/>
          <w:sz w:val="28"/>
        </w:rPr>
        <w:t xml:space="preserve"> </w:t>
      </w:r>
      <w:r w:rsidR="00BC70BE">
        <w:rPr>
          <w:b/>
          <w:sz w:val="28"/>
        </w:rPr>
        <w:t>Octo</w:t>
      </w:r>
      <w:r>
        <w:rPr>
          <w:b/>
          <w:sz w:val="28"/>
        </w:rPr>
        <w:t>ber</w:t>
      </w:r>
      <w:r w:rsidRPr="003528F2">
        <w:rPr>
          <w:b/>
          <w:sz w:val="28"/>
        </w:rPr>
        <w:t xml:space="preserve"> 2023</w:t>
      </w:r>
    </w:p>
    <w:p w14:paraId="686CE5D8" w14:textId="77777777" w:rsidR="00912904" w:rsidRPr="00435B5D" w:rsidRDefault="00912904" w:rsidP="00912904">
      <w:pPr>
        <w:pStyle w:val="Heading2"/>
        <w:spacing w:after="240"/>
      </w:pPr>
      <w:r>
        <w:t>Mandatory Checks</w:t>
      </w:r>
    </w:p>
    <w:p w14:paraId="71FBC41D" w14:textId="15C38EC2" w:rsidR="00912904" w:rsidRPr="003313EA" w:rsidRDefault="00912904" w:rsidP="00C55540">
      <w:pPr>
        <w:pStyle w:val="Heading3"/>
        <w:ind w:left="0" w:firstLine="0"/>
        <w:rPr>
          <w:i/>
          <w:color w:val="FF0000"/>
          <w:szCs w:val="24"/>
        </w:rPr>
      </w:pPr>
      <w:r w:rsidRPr="00E90AFF">
        <w:rPr>
          <w:sz w:val="28"/>
        </w:rPr>
        <w:t>Ward Councillors notified:  N</w:t>
      </w:r>
      <w:r w:rsidR="002F03A2">
        <w:rPr>
          <w:sz w:val="28"/>
        </w:rPr>
        <w:t>ot Applicable</w:t>
      </w:r>
    </w:p>
    <w:p w14:paraId="629F8205" w14:textId="77777777" w:rsidR="002A2389" w:rsidRDefault="002A2389" w:rsidP="00912904">
      <w:pPr>
        <w:pStyle w:val="Heading2"/>
        <w:keepNext/>
        <w:spacing w:after="240"/>
      </w:pPr>
      <w:r>
        <w:t>Section 4 - Contact Details and Background Papers</w:t>
      </w:r>
    </w:p>
    <w:p w14:paraId="48C26AAC" w14:textId="77777777" w:rsidR="000A565E" w:rsidRDefault="002A2389" w:rsidP="000A565E">
      <w:pPr>
        <w:pStyle w:val="Infotext"/>
        <w:rPr>
          <w:sz w:val="24"/>
          <w:szCs w:val="24"/>
        </w:rPr>
      </w:pPr>
      <w:r w:rsidRPr="00D914D2">
        <w:rPr>
          <w:b/>
        </w:rPr>
        <w:t>Contact:</w:t>
      </w:r>
      <w:r>
        <w:t xml:space="preserve">  </w:t>
      </w:r>
      <w:r w:rsidR="000A565E">
        <w:rPr>
          <w:sz w:val="24"/>
          <w:szCs w:val="24"/>
        </w:rPr>
        <w:t>Bola Tobun – Treasury and</w:t>
      </w:r>
      <w:r w:rsidR="000A565E" w:rsidRPr="00A175BD">
        <w:rPr>
          <w:sz w:val="24"/>
          <w:szCs w:val="24"/>
        </w:rPr>
        <w:t xml:space="preserve"> Pensions </w:t>
      </w:r>
      <w:r w:rsidR="000A565E">
        <w:rPr>
          <w:sz w:val="24"/>
          <w:szCs w:val="24"/>
        </w:rPr>
        <w:t>Manager</w:t>
      </w:r>
    </w:p>
    <w:p w14:paraId="65833700" w14:textId="77777777" w:rsidR="000A565E" w:rsidRDefault="000A565E" w:rsidP="000A565E">
      <w:pPr>
        <w:pStyle w:val="Infotext"/>
        <w:rPr>
          <w:rStyle w:val="Hyperlink"/>
          <w:sz w:val="24"/>
          <w:szCs w:val="24"/>
        </w:rPr>
      </w:pPr>
      <w:r w:rsidRPr="00A175BD">
        <w:rPr>
          <w:sz w:val="24"/>
          <w:szCs w:val="24"/>
        </w:rPr>
        <w:t xml:space="preserve">Email: </w:t>
      </w:r>
      <w:hyperlink r:id="rId8" w:history="1">
        <w:r w:rsidRPr="001564E8">
          <w:rPr>
            <w:rStyle w:val="Hyperlink"/>
            <w:sz w:val="24"/>
            <w:szCs w:val="24"/>
          </w:rPr>
          <w:t>bola.Tobun@harrow.gov.uk</w:t>
        </w:r>
      </w:hyperlink>
    </w:p>
    <w:p w14:paraId="75E1F821" w14:textId="0270EFD6" w:rsidR="000A565E" w:rsidRDefault="000A565E" w:rsidP="000A565E">
      <w:pPr>
        <w:pStyle w:val="Infotext"/>
        <w:rPr>
          <w:rStyle w:val="Hyperlink"/>
          <w:color w:val="auto"/>
          <w:sz w:val="24"/>
          <w:szCs w:val="24"/>
          <w:u w:val="none"/>
        </w:rPr>
      </w:pPr>
      <w:r w:rsidRPr="00DD6270">
        <w:rPr>
          <w:rStyle w:val="Hyperlink"/>
          <w:color w:val="auto"/>
          <w:sz w:val="24"/>
          <w:szCs w:val="24"/>
          <w:u w:val="none"/>
        </w:rPr>
        <w:t>Telephone 020 8</w:t>
      </w:r>
      <w:r>
        <w:rPr>
          <w:rStyle w:val="Hyperlink"/>
          <w:color w:val="auto"/>
          <w:sz w:val="24"/>
          <w:szCs w:val="24"/>
          <w:u w:val="none"/>
        </w:rPr>
        <w:t>420 9264</w:t>
      </w:r>
    </w:p>
    <w:p w14:paraId="41ADA22F" w14:textId="3D33BCD1" w:rsidR="000A565E" w:rsidRDefault="000A565E" w:rsidP="000A565E">
      <w:pPr>
        <w:pStyle w:val="Infotext"/>
        <w:rPr>
          <w:rStyle w:val="Hyperlink"/>
          <w:color w:val="auto"/>
          <w:sz w:val="24"/>
          <w:szCs w:val="24"/>
          <w:u w:val="none"/>
        </w:rPr>
      </w:pPr>
    </w:p>
    <w:p w14:paraId="04DF834F" w14:textId="77777777" w:rsidR="000A565E" w:rsidRPr="00DD6270" w:rsidRDefault="000A565E" w:rsidP="000A565E">
      <w:pPr>
        <w:pStyle w:val="Infotext"/>
      </w:pPr>
    </w:p>
    <w:p w14:paraId="695B009D" w14:textId="78F8F0DD" w:rsidR="002A2389" w:rsidRDefault="002A2389" w:rsidP="000A565E">
      <w:pPr>
        <w:pStyle w:val="Infotext"/>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B41A" w14:textId="77777777" w:rsidR="00EC0960" w:rsidRDefault="00EC0960">
      <w:r>
        <w:separator/>
      </w:r>
    </w:p>
  </w:endnote>
  <w:endnote w:type="continuationSeparator" w:id="0">
    <w:p w14:paraId="0E32C9E5" w14:textId="77777777" w:rsidR="00EC0960" w:rsidRDefault="00EC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A448" w14:textId="77777777" w:rsidR="00EC0960" w:rsidRDefault="00EC0960">
      <w:r>
        <w:separator/>
      </w:r>
    </w:p>
  </w:footnote>
  <w:footnote w:type="continuationSeparator" w:id="0">
    <w:p w14:paraId="043EBDE1" w14:textId="77777777" w:rsidR="00EC0960" w:rsidRDefault="00EC0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A6C47"/>
    <w:multiLevelType w:val="hybridMultilevel"/>
    <w:tmpl w:val="4B7A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1408B"/>
    <w:multiLevelType w:val="hybridMultilevel"/>
    <w:tmpl w:val="663441E6"/>
    <w:lvl w:ilvl="0" w:tplc="5FDAC970">
      <w:start w:val="3"/>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D1174"/>
    <w:multiLevelType w:val="hybridMultilevel"/>
    <w:tmpl w:val="8590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DF2132"/>
    <w:multiLevelType w:val="hybridMultilevel"/>
    <w:tmpl w:val="85FED3F6"/>
    <w:lvl w:ilvl="0" w:tplc="B8EA718C">
      <w:start w:val="2"/>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5"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6"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F643B"/>
    <w:multiLevelType w:val="hybridMultilevel"/>
    <w:tmpl w:val="C81C97C0"/>
    <w:lvl w:ilvl="0" w:tplc="FFFFFFFF">
      <w:start w:val="1"/>
      <w:numFmt w:val="decimal"/>
      <w:lvlText w:val="%1."/>
      <w:lvlJc w:val="left"/>
      <w:pPr>
        <w:ind w:left="720" w:hanging="360"/>
      </w:pPr>
      <w:rPr>
        <w:rFonts w:hint="default"/>
        <w:b w:val="0"/>
        <w:color w:val="auto"/>
      </w:rPr>
    </w:lvl>
    <w:lvl w:ilvl="1" w:tplc="256268D8">
      <w:start w:val="1"/>
      <w:numFmt w:val="lowerLetter"/>
      <w:lvlText w:val="%2."/>
      <w:lvlJc w:val="left"/>
      <w:pPr>
        <w:ind w:left="1733" w:hanging="653"/>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75CCD"/>
    <w:multiLevelType w:val="hybridMultilevel"/>
    <w:tmpl w:val="F8A6A642"/>
    <w:lvl w:ilvl="0" w:tplc="5DF28558">
      <w:start w:val="1"/>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E5828"/>
    <w:multiLevelType w:val="hybridMultilevel"/>
    <w:tmpl w:val="0ED2EEAA"/>
    <w:lvl w:ilvl="0" w:tplc="49A6D8F0">
      <w:start w:val="1"/>
      <w:numFmt w:val="lowerRoman"/>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02AA3"/>
    <w:multiLevelType w:val="hybridMultilevel"/>
    <w:tmpl w:val="D5F6E92A"/>
    <w:lvl w:ilvl="0" w:tplc="49A6D8F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B266822"/>
    <w:multiLevelType w:val="hybridMultilevel"/>
    <w:tmpl w:val="3D8E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E3C27"/>
    <w:multiLevelType w:val="hybridMultilevel"/>
    <w:tmpl w:val="CF7A0C2A"/>
    <w:lvl w:ilvl="0" w:tplc="FFFFFFFF">
      <w:start w:val="1"/>
      <w:numFmt w:val="decimal"/>
      <w:lvlText w:val="%1."/>
      <w:lvlJc w:val="left"/>
      <w:pPr>
        <w:ind w:left="720" w:hanging="360"/>
      </w:pPr>
      <w:rPr>
        <w:rFonts w:hint="default"/>
        <w:b w:val="0"/>
        <w:color w:val="auto"/>
      </w:rPr>
    </w:lvl>
    <w:lvl w:ilvl="1" w:tplc="49A6D8F0">
      <w:start w:val="1"/>
      <w:numFmt w:val="lowerRoman"/>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6448258">
    <w:abstractNumId w:val="26"/>
  </w:num>
  <w:num w:numId="2" w16cid:durableId="288710912">
    <w:abstractNumId w:val="20"/>
  </w:num>
  <w:num w:numId="3" w16cid:durableId="277569589">
    <w:abstractNumId w:val="25"/>
  </w:num>
  <w:num w:numId="4" w16cid:durableId="1289169084">
    <w:abstractNumId w:val="2"/>
  </w:num>
  <w:num w:numId="5" w16cid:durableId="12510829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1801970">
    <w:abstractNumId w:val="12"/>
  </w:num>
  <w:num w:numId="7" w16cid:durableId="384648179">
    <w:abstractNumId w:val="15"/>
  </w:num>
  <w:num w:numId="8" w16cid:durableId="1682588223">
    <w:abstractNumId w:val="8"/>
  </w:num>
  <w:num w:numId="9" w16cid:durableId="1495728572">
    <w:abstractNumId w:val="5"/>
  </w:num>
  <w:num w:numId="10" w16cid:durableId="1664043755">
    <w:abstractNumId w:val="23"/>
  </w:num>
  <w:num w:numId="11" w16cid:durableId="627903422">
    <w:abstractNumId w:val="31"/>
  </w:num>
  <w:num w:numId="12" w16cid:durableId="1363750459">
    <w:abstractNumId w:val="21"/>
  </w:num>
  <w:num w:numId="13" w16cid:durableId="573005081">
    <w:abstractNumId w:val="4"/>
  </w:num>
  <w:num w:numId="14" w16cid:durableId="652031689">
    <w:abstractNumId w:val="10"/>
  </w:num>
  <w:num w:numId="15" w16cid:durableId="312104494">
    <w:abstractNumId w:val="19"/>
  </w:num>
  <w:num w:numId="16" w16cid:durableId="783694887">
    <w:abstractNumId w:val="17"/>
  </w:num>
  <w:num w:numId="17" w16cid:durableId="831915866">
    <w:abstractNumId w:val="1"/>
  </w:num>
  <w:num w:numId="18" w16cid:durableId="1573738415">
    <w:abstractNumId w:val="13"/>
  </w:num>
  <w:num w:numId="19" w16cid:durableId="168175831">
    <w:abstractNumId w:val="16"/>
  </w:num>
  <w:num w:numId="20" w16cid:durableId="996609380">
    <w:abstractNumId w:val="30"/>
  </w:num>
  <w:num w:numId="21" w16cid:durableId="109083903">
    <w:abstractNumId w:val="6"/>
  </w:num>
  <w:num w:numId="22" w16cid:durableId="1097864829">
    <w:abstractNumId w:val="22"/>
  </w:num>
  <w:num w:numId="23" w16cid:durableId="637419656">
    <w:abstractNumId w:val="9"/>
  </w:num>
  <w:num w:numId="24" w16cid:durableId="1130708990">
    <w:abstractNumId w:val="7"/>
  </w:num>
  <w:num w:numId="25" w16cid:durableId="2063867652">
    <w:abstractNumId w:val="14"/>
  </w:num>
  <w:num w:numId="26" w16cid:durableId="624238725">
    <w:abstractNumId w:val="0"/>
  </w:num>
  <w:num w:numId="27" w16cid:durableId="2039743337">
    <w:abstractNumId w:val="3"/>
  </w:num>
  <w:num w:numId="28" w16cid:durableId="933590520">
    <w:abstractNumId w:val="28"/>
  </w:num>
  <w:num w:numId="29" w16cid:durableId="1146822481">
    <w:abstractNumId w:val="11"/>
  </w:num>
  <w:num w:numId="30" w16cid:durableId="2128087875">
    <w:abstractNumId w:val="18"/>
  </w:num>
  <w:num w:numId="31" w16cid:durableId="1046687613">
    <w:abstractNumId w:val="24"/>
  </w:num>
  <w:num w:numId="32" w16cid:durableId="1911302589">
    <w:abstractNumId w:val="27"/>
  </w:num>
  <w:num w:numId="33" w16cid:durableId="136494367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2A83"/>
    <w:rsid w:val="00023F4C"/>
    <w:rsid w:val="000443AE"/>
    <w:rsid w:val="00057F10"/>
    <w:rsid w:val="000633A2"/>
    <w:rsid w:val="0006699B"/>
    <w:rsid w:val="00071EB4"/>
    <w:rsid w:val="00072A8C"/>
    <w:rsid w:val="00077298"/>
    <w:rsid w:val="00082A25"/>
    <w:rsid w:val="0009514C"/>
    <w:rsid w:val="000A565E"/>
    <w:rsid w:val="000A58A1"/>
    <w:rsid w:val="000A6659"/>
    <w:rsid w:val="000B0E6F"/>
    <w:rsid w:val="000B6DBB"/>
    <w:rsid w:val="000D2BF2"/>
    <w:rsid w:val="000D5870"/>
    <w:rsid w:val="000F65C0"/>
    <w:rsid w:val="001134B0"/>
    <w:rsid w:val="00142826"/>
    <w:rsid w:val="001939BA"/>
    <w:rsid w:val="001A6EB0"/>
    <w:rsid w:val="001B441D"/>
    <w:rsid w:val="001C5225"/>
    <w:rsid w:val="001C6F48"/>
    <w:rsid w:val="001E0219"/>
    <w:rsid w:val="00213BE7"/>
    <w:rsid w:val="00231A1D"/>
    <w:rsid w:val="00244120"/>
    <w:rsid w:val="00261307"/>
    <w:rsid w:val="00272BFE"/>
    <w:rsid w:val="00274BB8"/>
    <w:rsid w:val="00280C5C"/>
    <w:rsid w:val="00287FFD"/>
    <w:rsid w:val="00293F9F"/>
    <w:rsid w:val="002A2389"/>
    <w:rsid w:val="002A2C3A"/>
    <w:rsid w:val="002C08E2"/>
    <w:rsid w:val="002C1794"/>
    <w:rsid w:val="002D2FC5"/>
    <w:rsid w:val="002E6637"/>
    <w:rsid w:val="002E77E3"/>
    <w:rsid w:val="002F03A2"/>
    <w:rsid w:val="00305BDC"/>
    <w:rsid w:val="003067A7"/>
    <w:rsid w:val="0032089F"/>
    <w:rsid w:val="00332947"/>
    <w:rsid w:val="00333EB4"/>
    <w:rsid w:val="003449DB"/>
    <w:rsid w:val="00345915"/>
    <w:rsid w:val="0034629E"/>
    <w:rsid w:val="00347BDD"/>
    <w:rsid w:val="0035176F"/>
    <w:rsid w:val="003526AA"/>
    <w:rsid w:val="0036336F"/>
    <w:rsid w:val="00365D29"/>
    <w:rsid w:val="00374F22"/>
    <w:rsid w:val="003B30C3"/>
    <w:rsid w:val="003D18A3"/>
    <w:rsid w:val="003D2FFE"/>
    <w:rsid w:val="00400032"/>
    <w:rsid w:val="00416CAC"/>
    <w:rsid w:val="0042394B"/>
    <w:rsid w:val="004512EB"/>
    <w:rsid w:val="0046004A"/>
    <w:rsid w:val="00473B08"/>
    <w:rsid w:val="00474B5F"/>
    <w:rsid w:val="004A0413"/>
    <w:rsid w:val="004A074B"/>
    <w:rsid w:val="004A3CE6"/>
    <w:rsid w:val="004A4A1D"/>
    <w:rsid w:val="004A7CE7"/>
    <w:rsid w:val="004B2C9D"/>
    <w:rsid w:val="004B3447"/>
    <w:rsid w:val="004B4A47"/>
    <w:rsid w:val="004D6661"/>
    <w:rsid w:val="004E667D"/>
    <w:rsid w:val="004E6AF9"/>
    <w:rsid w:val="0050173B"/>
    <w:rsid w:val="005031DF"/>
    <w:rsid w:val="00560B1F"/>
    <w:rsid w:val="00567D42"/>
    <w:rsid w:val="00597314"/>
    <w:rsid w:val="005A61AF"/>
    <w:rsid w:val="005D0886"/>
    <w:rsid w:val="005E384D"/>
    <w:rsid w:val="005E568A"/>
    <w:rsid w:val="005F2181"/>
    <w:rsid w:val="005F724B"/>
    <w:rsid w:val="006228B5"/>
    <w:rsid w:val="00623D0A"/>
    <w:rsid w:val="00625DFF"/>
    <w:rsid w:val="0063072B"/>
    <w:rsid w:val="00640396"/>
    <w:rsid w:val="0066020E"/>
    <w:rsid w:val="00662891"/>
    <w:rsid w:val="006628B7"/>
    <w:rsid w:val="00675FCB"/>
    <w:rsid w:val="006B3942"/>
    <w:rsid w:val="006B5B52"/>
    <w:rsid w:val="006C3914"/>
    <w:rsid w:val="006D3648"/>
    <w:rsid w:val="0074184E"/>
    <w:rsid w:val="0074199D"/>
    <w:rsid w:val="00743829"/>
    <w:rsid w:val="00751B26"/>
    <w:rsid w:val="00755F8D"/>
    <w:rsid w:val="0078185B"/>
    <w:rsid w:val="00792B37"/>
    <w:rsid w:val="00796503"/>
    <w:rsid w:val="00797239"/>
    <w:rsid w:val="007D2BDA"/>
    <w:rsid w:val="007D56C8"/>
    <w:rsid w:val="007E3934"/>
    <w:rsid w:val="007E7303"/>
    <w:rsid w:val="007F1710"/>
    <w:rsid w:val="007F7468"/>
    <w:rsid w:val="008212A0"/>
    <w:rsid w:val="00837F53"/>
    <w:rsid w:val="00866567"/>
    <w:rsid w:val="00871FD1"/>
    <w:rsid w:val="00872DB2"/>
    <w:rsid w:val="00881585"/>
    <w:rsid w:val="008D1750"/>
    <w:rsid w:val="008D6B43"/>
    <w:rsid w:val="008D7800"/>
    <w:rsid w:val="008E2910"/>
    <w:rsid w:val="008E4913"/>
    <w:rsid w:val="008E6C0C"/>
    <w:rsid w:val="008F3B36"/>
    <w:rsid w:val="00900464"/>
    <w:rsid w:val="0090100E"/>
    <w:rsid w:val="00907F12"/>
    <w:rsid w:val="00912904"/>
    <w:rsid w:val="009344F8"/>
    <w:rsid w:val="0093767E"/>
    <w:rsid w:val="009645CF"/>
    <w:rsid w:val="00972A02"/>
    <w:rsid w:val="00983F85"/>
    <w:rsid w:val="0099517C"/>
    <w:rsid w:val="009A0937"/>
    <w:rsid w:val="009B2ECD"/>
    <w:rsid w:val="009B7914"/>
    <w:rsid w:val="009D464E"/>
    <w:rsid w:val="009F06DF"/>
    <w:rsid w:val="009F2A02"/>
    <w:rsid w:val="009F430B"/>
    <w:rsid w:val="00A160B2"/>
    <w:rsid w:val="00A360D6"/>
    <w:rsid w:val="00A566E7"/>
    <w:rsid w:val="00A73019"/>
    <w:rsid w:val="00A940D3"/>
    <w:rsid w:val="00A96FCA"/>
    <w:rsid w:val="00AA4BE8"/>
    <w:rsid w:val="00AC0AAB"/>
    <w:rsid w:val="00AC7BA9"/>
    <w:rsid w:val="00AD523B"/>
    <w:rsid w:val="00AE52DB"/>
    <w:rsid w:val="00AF33ED"/>
    <w:rsid w:val="00AF7D48"/>
    <w:rsid w:val="00B036C2"/>
    <w:rsid w:val="00B0425E"/>
    <w:rsid w:val="00B17A17"/>
    <w:rsid w:val="00B6775D"/>
    <w:rsid w:val="00B67880"/>
    <w:rsid w:val="00B745A8"/>
    <w:rsid w:val="00B900E2"/>
    <w:rsid w:val="00B9118E"/>
    <w:rsid w:val="00BA06FE"/>
    <w:rsid w:val="00BA108D"/>
    <w:rsid w:val="00BC70BE"/>
    <w:rsid w:val="00BD6115"/>
    <w:rsid w:val="00BD684A"/>
    <w:rsid w:val="00C01E5C"/>
    <w:rsid w:val="00C07008"/>
    <w:rsid w:val="00C27D15"/>
    <w:rsid w:val="00C32DAE"/>
    <w:rsid w:val="00C337FA"/>
    <w:rsid w:val="00C34564"/>
    <w:rsid w:val="00C40E24"/>
    <w:rsid w:val="00C4112E"/>
    <w:rsid w:val="00C55540"/>
    <w:rsid w:val="00C61B80"/>
    <w:rsid w:val="00C70A2A"/>
    <w:rsid w:val="00C92D9A"/>
    <w:rsid w:val="00C96EF5"/>
    <w:rsid w:val="00C977D3"/>
    <w:rsid w:val="00CA68A2"/>
    <w:rsid w:val="00CB5BE3"/>
    <w:rsid w:val="00CC0DC5"/>
    <w:rsid w:val="00CE039D"/>
    <w:rsid w:val="00CE4DD2"/>
    <w:rsid w:val="00CE7994"/>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C0960"/>
    <w:rsid w:val="00EE0A76"/>
    <w:rsid w:val="00EE3FF8"/>
    <w:rsid w:val="00EF2F91"/>
    <w:rsid w:val="00F11E7C"/>
    <w:rsid w:val="00F33EE3"/>
    <w:rsid w:val="00F41D58"/>
    <w:rsid w:val="00F4213B"/>
    <w:rsid w:val="00F439E2"/>
    <w:rsid w:val="00F455CC"/>
    <w:rsid w:val="00F77A86"/>
    <w:rsid w:val="00F849ED"/>
    <w:rsid w:val="00F907C0"/>
    <w:rsid w:val="00F92398"/>
    <w:rsid w:val="00FD31A0"/>
    <w:rsid w:val="00FE08C7"/>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character" w:customStyle="1" w:styleId="BodyTextChar">
    <w:name w:val="Body Text Char"/>
    <w:basedOn w:val="DefaultParagraphFont"/>
    <w:link w:val="BodyText"/>
    <w:rsid w:val="00CA68A2"/>
    <w:rPr>
      <w:rFonts w:ascii="Arial" w:hAnsi="Arial" w:cs="Arial"/>
      <w:i/>
      <w:iCs/>
      <w:sz w:val="24"/>
      <w:lang w:eastAsia="en-US"/>
    </w:rPr>
  </w:style>
  <w:style w:type="table" w:styleId="TableGrid">
    <w:name w:val="Table Grid"/>
    <w:basedOn w:val="TableNormal"/>
    <w:rsid w:val="005E5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E568A"/>
    <w:rPr>
      <w:sz w:val="16"/>
      <w:szCs w:val="16"/>
    </w:rPr>
  </w:style>
  <w:style w:type="paragraph" w:styleId="CommentText">
    <w:name w:val="annotation text"/>
    <w:basedOn w:val="Normal"/>
    <w:link w:val="CommentTextChar"/>
    <w:unhideWhenUsed/>
    <w:rsid w:val="005E568A"/>
    <w:rPr>
      <w:sz w:val="20"/>
    </w:rPr>
  </w:style>
  <w:style w:type="character" w:customStyle="1" w:styleId="CommentTextChar">
    <w:name w:val="Comment Text Char"/>
    <w:basedOn w:val="DefaultParagraphFont"/>
    <w:link w:val="CommentText"/>
    <w:rsid w:val="005E568A"/>
    <w:rPr>
      <w:rFonts w:ascii="Arial" w:hAnsi="Arial"/>
      <w:lang w:eastAsia="en-US"/>
    </w:rPr>
  </w:style>
  <w:style w:type="paragraph" w:customStyle="1" w:styleId="Default">
    <w:name w:val="Default"/>
    <w:rsid w:val="00623D0A"/>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unhideWhenUsed/>
    <w:rsid w:val="003526AA"/>
    <w:rPr>
      <w:b/>
      <w:bCs/>
    </w:rPr>
  </w:style>
  <w:style w:type="character" w:customStyle="1" w:styleId="CommentSubjectChar">
    <w:name w:val="Comment Subject Char"/>
    <w:basedOn w:val="CommentTextChar"/>
    <w:link w:val="CommentSubject"/>
    <w:semiHidden/>
    <w:rsid w:val="003526A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6492">
      <w:bodyDiv w:val="1"/>
      <w:marLeft w:val="0"/>
      <w:marRight w:val="0"/>
      <w:marTop w:val="0"/>
      <w:marBottom w:val="0"/>
      <w:divBdr>
        <w:top w:val="none" w:sz="0" w:space="0" w:color="auto"/>
        <w:left w:val="none" w:sz="0" w:space="0" w:color="auto"/>
        <w:bottom w:val="none" w:sz="0" w:space="0" w:color="auto"/>
        <w:right w:val="none" w:sz="0" w:space="0" w:color="auto"/>
      </w:divBdr>
    </w:div>
    <w:div w:id="57478295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 w:id="21266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la.Tobun@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1688</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10678</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Andrew Seaman5</cp:lastModifiedBy>
  <cp:revision>3</cp:revision>
  <cp:lastPrinted>2007-07-12T09:53:00Z</cp:lastPrinted>
  <dcterms:created xsi:type="dcterms:W3CDTF">2023-10-20T09:16:00Z</dcterms:created>
  <dcterms:modified xsi:type="dcterms:W3CDTF">2023-10-20T11:03:00Z</dcterms:modified>
</cp:coreProperties>
</file>